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84"/>
          <w:szCs w:val="84"/>
        </w:rPr>
      </w:pPr>
    </w:p>
    <w:p>
      <w:pPr>
        <w:jc w:val="both"/>
        <w:rPr>
          <w:rFonts w:hint="eastAsia" w:ascii="方正小标宋_GBK" w:hAnsi="方正小标宋_GBK" w:eastAsia="方正小标宋_GBK" w:cs="方正小标宋_GBK"/>
          <w:sz w:val="84"/>
          <w:szCs w:val="84"/>
        </w:rPr>
      </w:pPr>
      <w:bookmarkStart w:id="0" w:name="_GoBack"/>
      <w:bookmarkEnd w:id="0"/>
    </w:p>
    <w:p>
      <w:pPr>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青岛市市北区人民法院司法技术中心2024年部门预算有关情况的说明</w:t>
      </w:r>
    </w:p>
    <w:p>
      <w:pPr>
        <w:rPr>
          <w:rFonts w:ascii="黑体" w:eastAsia="黑体"/>
          <w:sz w:val="44"/>
          <w:szCs w:val="44"/>
        </w:rPr>
      </w:pPr>
      <w:r>
        <w:rPr>
          <w:rFonts w:ascii="黑体" w:eastAsia="黑体"/>
          <w:sz w:val="44"/>
          <w:szCs w:val="44"/>
        </w:rPr>
        <w:br w:type="page"/>
      </w:r>
    </w:p>
    <w:p>
      <w:pPr>
        <w:jc w:val="center"/>
        <w:rPr>
          <w:rFonts w:ascii="黑体" w:eastAsia="黑体"/>
          <w:sz w:val="44"/>
          <w:szCs w:val="44"/>
        </w:rPr>
        <w:sectPr>
          <w:footerReference r:id="rId3" w:type="default"/>
          <w:footerReference r:id="rId4" w:type="even"/>
          <w:pgSz w:w="11907" w:h="16840"/>
          <w:pgMar w:top="1191" w:right="992" w:bottom="1191" w:left="1588" w:header="851" w:footer="992" w:gutter="0"/>
          <w:cols w:space="720" w:num="1"/>
          <w:vAlign w:val="center"/>
          <w:docGrid w:type="lines" w:linePitch="312" w:charSpace="0"/>
        </w:sectPr>
      </w:pPr>
    </w:p>
    <w:p>
      <w:pPr>
        <w:jc w:val="center"/>
        <w:rPr>
          <w:rFonts w:ascii="黑体" w:eastAsia="黑体"/>
          <w:sz w:val="44"/>
          <w:szCs w:val="44"/>
        </w:rPr>
      </w:pPr>
      <w:r>
        <w:rPr>
          <w:rFonts w:hint="eastAsia" w:ascii="黑体" w:eastAsia="黑体"/>
          <w:sz w:val="44"/>
          <w:szCs w:val="44"/>
        </w:rPr>
        <w:t>目  录</w:t>
      </w:r>
    </w:p>
    <w:p>
      <w:pPr>
        <w:spacing w:line="560" w:lineRule="exact"/>
        <w:jc w:val="center"/>
        <w:rPr>
          <w:rFonts w:ascii="黑体" w:eastAsia="黑体"/>
          <w:sz w:val="44"/>
          <w:szCs w:val="44"/>
        </w:rPr>
      </w:pPr>
    </w:p>
    <w:p>
      <w:pPr>
        <w:spacing w:line="560" w:lineRule="exact"/>
        <w:rPr>
          <w:rFonts w:ascii="黑体" w:eastAsia="黑体"/>
          <w:sz w:val="36"/>
          <w:szCs w:val="36"/>
        </w:rPr>
      </w:pPr>
      <w:r>
        <w:rPr>
          <w:rFonts w:hint="eastAsia" w:ascii="黑体" w:eastAsia="黑体"/>
          <w:sz w:val="36"/>
          <w:szCs w:val="36"/>
        </w:rPr>
        <w:t>第一部分 部门概况</w:t>
      </w:r>
    </w:p>
    <w:p>
      <w:pPr>
        <w:spacing w:line="560" w:lineRule="exact"/>
        <w:ind w:left="640"/>
        <w:rPr>
          <w:rFonts w:ascii="仿宋_GB2312" w:eastAsia="仿宋_GB2312"/>
          <w:sz w:val="32"/>
          <w:szCs w:val="32"/>
        </w:rPr>
      </w:pPr>
      <w:r>
        <w:rPr>
          <w:rFonts w:hint="eastAsia" w:ascii="仿宋_GB2312" w:eastAsia="仿宋_GB2312"/>
          <w:sz w:val="32"/>
          <w:szCs w:val="32"/>
        </w:rPr>
        <w:t>一、主要职能</w:t>
      </w:r>
    </w:p>
    <w:p>
      <w:pPr>
        <w:spacing w:line="560" w:lineRule="exact"/>
        <w:ind w:left="640"/>
        <w:rPr>
          <w:rFonts w:ascii="仿宋_GB2312" w:eastAsia="仿宋_GB2312"/>
          <w:sz w:val="32"/>
          <w:szCs w:val="32"/>
        </w:rPr>
      </w:pPr>
      <w:r>
        <w:rPr>
          <w:rFonts w:hint="eastAsia" w:ascii="仿宋_GB2312" w:eastAsia="仿宋_GB2312"/>
          <w:sz w:val="32"/>
          <w:szCs w:val="32"/>
        </w:rPr>
        <w:t>二、机构设置</w:t>
      </w:r>
    </w:p>
    <w:p>
      <w:pPr>
        <w:spacing w:line="560" w:lineRule="exact"/>
        <w:ind w:left="640"/>
        <w:rPr>
          <w:rFonts w:ascii="黑体" w:eastAsia="黑体"/>
          <w:sz w:val="32"/>
          <w:szCs w:val="32"/>
        </w:rPr>
      </w:pPr>
      <w:r>
        <w:rPr>
          <w:rFonts w:hint="eastAsia" w:ascii="仿宋_GB2312" w:eastAsia="仿宋_GB2312"/>
          <w:sz w:val="32"/>
          <w:szCs w:val="32"/>
        </w:rPr>
        <w:t>三、预算单位构成</w:t>
      </w:r>
    </w:p>
    <w:p>
      <w:pPr>
        <w:spacing w:line="560" w:lineRule="exact"/>
        <w:rPr>
          <w:rFonts w:ascii="黑体" w:eastAsia="黑体"/>
          <w:sz w:val="36"/>
          <w:szCs w:val="36"/>
        </w:rPr>
      </w:pPr>
      <w:r>
        <w:rPr>
          <w:rFonts w:hint="eastAsia" w:ascii="黑体" w:eastAsia="黑体"/>
          <w:sz w:val="36"/>
          <w:szCs w:val="36"/>
        </w:rPr>
        <w:t>第二部分 2024年部门预算表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一、2024年部门预算收支总表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二、2024年部门预算收入总表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三、2024年部门预算支出总表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四、2024年财政拨款收支总表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五、2024年一般公共预算支出表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六、2024年一般公共预算基本支出表（部门经济分类）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七、2024年一般公共预算基本支出表（政府经济分类）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八、2024年政府性基金预算支出表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九、2024年部门预算项目支出表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十、2024年部门“三公”经费预算表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十一、2024年政府采购预算表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十二、2024年政府购买服务预算表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十三、2024年项目经费绩效目标批复表</w:t>
      </w:r>
    </w:p>
    <w:p>
      <w:pPr>
        <w:spacing w:line="560" w:lineRule="exact"/>
        <w:ind w:left="1598" w:hanging="1598" w:hangingChars="444"/>
        <w:rPr>
          <w:rFonts w:ascii="黑体" w:eastAsia="黑体"/>
          <w:sz w:val="36"/>
          <w:szCs w:val="36"/>
        </w:rPr>
      </w:pPr>
      <w:r>
        <w:rPr>
          <w:rFonts w:hint="eastAsia" w:ascii="黑体" w:eastAsia="黑体"/>
          <w:sz w:val="36"/>
          <w:szCs w:val="36"/>
        </w:rPr>
        <w:t>第三部分 2024年部门预算情况和重要事项说明</w:t>
      </w:r>
    </w:p>
    <w:p>
      <w:pPr>
        <w:spacing w:line="560" w:lineRule="exact"/>
        <w:ind w:left="1598" w:hanging="1598" w:hangingChars="444"/>
        <w:rPr>
          <w:rFonts w:ascii="黑体" w:eastAsia="黑体"/>
          <w:sz w:val="36"/>
          <w:szCs w:val="36"/>
        </w:rPr>
      </w:pPr>
      <w:r>
        <w:rPr>
          <w:rFonts w:hint="eastAsia" w:ascii="黑体" w:eastAsia="黑体"/>
          <w:sz w:val="36"/>
          <w:szCs w:val="36"/>
        </w:rPr>
        <w:t>第四部分 名词解释</w:t>
      </w:r>
    </w:p>
    <w:p>
      <w:pPr>
        <w:rPr>
          <w:rFonts w:ascii="黑体" w:eastAsia="黑体"/>
          <w:sz w:val="52"/>
          <w:szCs w:val="52"/>
        </w:rPr>
      </w:pPr>
      <w:r>
        <w:rPr>
          <w:rFonts w:ascii="黑体" w:eastAsia="黑体"/>
          <w:sz w:val="52"/>
          <w:szCs w:val="52"/>
        </w:rPr>
        <w:br w:type="page"/>
      </w:r>
    </w:p>
    <w:p>
      <w:pPr>
        <w:spacing w:line="560" w:lineRule="exact"/>
        <w:ind w:left="2309" w:hanging="2308" w:hangingChars="444"/>
        <w:rPr>
          <w:rFonts w:ascii="黑体" w:eastAsia="黑体"/>
          <w:sz w:val="36"/>
          <w:szCs w:val="36"/>
        </w:rPr>
      </w:pPr>
      <w:r>
        <w:rPr>
          <w:rFonts w:hint="eastAsia" w:ascii="黑体" w:eastAsia="黑体"/>
          <w:sz w:val="52"/>
          <w:szCs w:val="52"/>
        </w:rPr>
        <w:t>第一部分</w:t>
      </w:r>
    </w:p>
    <w:p>
      <w:pPr>
        <w:spacing w:line="540" w:lineRule="exact"/>
        <w:jc w:val="center"/>
        <w:rPr>
          <w:rFonts w:ascii="黑体" w:eastAsia="黑体"/>
          <w:sz w:val="52"/>
          <w:szCs w:val="52"/>
        </w:rPr>
      </w:pPr>
    </w:p>
    <w:p>
      <w:pPr>
        <w:spacing w:line="540" w:lineRule="exact"/>
        <w:jc w:val="center"/>
        <w:rPr>
          <w:rFonts w:ascii="黑体" w:eastAsia="黑体"/>
          <w:sz w:val="52"/>
          <w:szCs w:val="52"/>
        </w:rPr>
      </w:pPr>
      <w:r>
        <w:rPr>
          <w:rFonts w:hint="eastAsia" w:ascii="黑体" w:eastAsia="黑体"/>
          <w:sz w:val="52"/>
          <w:szCs w:val="52"/>
        </w:rPr>
        <w:t>部门概况</w:t>
      </w:r>
    </w:p>
    <w:p>
      <w:pPr>
        <w:snapToGrid w:val="0"/>
        <w:spacing w:line="300" w:lineRule="auto"/>
        <w:rPr>
          <w:rFonts w:ascii="黑体" w:eastAsia="黑体"/>
          <w:sz w:val="32"/>
          <w:szCs w:val="32"/>
        </w:rPr>
      </w:pPr>
    </w:p>
    <w:p>
      <w:pPr>
        <w:snapToGrid w:val="0"/>
        <w:spacing w:line="300" w:lineRule="auto"/>
        <w:rPr>
          <w:rFonts w:ascii="黑体" w:eastAsia="黑体"/>
          <w:sz w:val="32"/>
          <w:szCs w:val="32"/>
        </w:rPr>
      </w:pPr>
    </w:p>
    <w:p>
      <w:pPr>
        <w:snapToGrid w:val="0"/>
        <w:spacing w:line="300" w:lineRule="auto"/>
        <w:rPr>
          <w:rFonts w:ascii="黑体" w:hAnsi="黑体" w:eastAsia="黑体"/>
          <w:b/>
          <w:sz w:val="32"/>
          <w:szCs w:val="32"/>
        </w:rPr>
      </w:pPr>
      <w:r>
        <w:rPr>
          <w:rFonts w:hint="eastAsia" w:ascii="黑体" w:eastAsia="黑体"/>
          <w:sz w:val="32"/>
          <w:szCs w:val="32"/>
        </w:rPr>
        <w:t xml:space="preserve">    一、主要职能</w:t>
      </w:r>
    </w:p>
    <w:p>
      <w:pPr>
        <w:adjustRightInd w:val="0"/>
        <w:snapToGrid w:val="0"/>
        <w:spacing w:line="540" w:lineRule="exact"/>
        <w:ind w:firstLine="640" w:firstLineChars="200"/>
        <w:rPr>
          <w:rFonts w:ascii="黑体" w:hAnsi="黑体" w:eastAsia="黑体"/>
          <w:b/>
          <w:sz w:val="32"/>
          <w:szCs w:val="32"/>
        </w:rPr>
      </w:pPr>
      <w:r>
        <w:rPr>
          <w:rFonts w:hint="eastAsia" w:ascii="仿宋_GB2312" w:eastAsia="仿宋_GB2312"/>
          <w:sz w:val="32"/>
          <w:szCs w:val="32"/>
        </w:rPr>
        <w:t>青岛市市北区人民法院司法技术中心（原青岛市市北区人民法院司法鉴定委托管理中心），系青岛市市北区人民法院下属财政补贴事业单位。主要职能是为法院对外委托鉴定、评估、拍卖；为审判工作提供技术咨询，对涉案技术问题进行协调，向上级法院或有关单位进行咨询；对法院的司法鉴定工作及入册的中介机构进行协调服务。</w:t>
      </w:r>
    </w:p>
    <w:p>
      <w:pPr>
        <w:spacing w:line="540" w:lineRule="exact"/>
        <w:ind w:firstLine="640" w:firstLineChars="200"/>
        <w:rPr>
          <w:rFonts w:ascii="黑体" w:eastAsia="黑体"/>
          <w:sz w:val="32"/>
          <w:szCs w:val="32"/>
        </w:rPr>
      </w:pPr>
      <w:r>
        <w:rPr>
          <w:rFonts w:hint="eastAsia" w:ascii="黑体" w:eastAsia="黑体"/>
          <w:sz w:val="32"/>
          <w:szCs w:val="32"/>
          <w:lang w:val="zh-CN"/>
        </w:rPr>
        <w:t>二、</w:t>
      </w:r>
      <w:r>
        <w:rPr>
          <w:rFonts w:hint="eastAsia" w:ascii="黑体" w:eastAsia="黑体"/>
          <w:sz w:val="32"/>
          <w:szCs w:val="32"/>
        </w:rPr>
        <w:t>机构设置</w:t>
      </w:r>
    </w:p>
    <w:p>
      <w:pPr>
        <w:adjustRightInd w:val="0"/>
        <w:snapToGrid w:val="0"/>
        <w:spacing w:line="540" w:lineRule="exact"/>
        <w:ind w:firstLine="640" w:firstLineChars="200"/>
        <w:rPr>
          <w:rFonts w:ascii="仿宋" w:hAnsi="仿宋" w:eastAsia="仿宋"/>
          <w:sz w:val="32"/>
          <w:szCs w:val="32"/>
        </w:rPr>
      </w:pPr>
      <w:r>
        <w:rPr>
          <w:rFonts w:hint="eastAsia" w:ascii="仿宋_GB2312" w:eastAsia="仿宋_GB2312"/>
          <w:sz w:val="32"/>
          <w:szCs w:val="32"/>
        </w:rPr>
        <w:t>青岛市市北区人民法院司法技术中心，无内设机构，该单位人员均在青岛市市北区人民法院内设机构鉴定中心、政治部、执行局等部门从事司机、行政、书记员等司法行政或司法辅助工作。</w:t>
      </w:r>
    </w:p>
    <w:p>
      <w:pPr>
        <w:spacing w:line="540" w:lineRule="exact"/>
        <w:ind w:firstLine="640" w:firstLineChars="200"/>
        <w:rPr>
          <w:rFonts w:ascii="仿宋_GB2312" w:eastAsia="仿宋_GB2312"/>
          <w:sz w:val="32"/>
          <w:szCs w:val="32"/>
        </w:rPr>
      </w:pPr>
      <w:r>
        <w:rPr>
          <w:rFonts w:hint="eastAsia" w:ascii="黑体" w:eastAsia="黑体"/>
          <w:sz w:val="32"/>
          <w:szCs w:val="32"/>
        </w:rPr>
        <w:t>三、预算单位构成</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青岛市市北区人民法院司法技术中心，</w:t>
      </w:r>
      <w:r>
        <w:rPr>
          <w:rFonts w:ascii="仿宋_GB2312" w:eastAsia="仿宋_GB2312"/>
          <w:sz w:val="32"/>
          <w:szCs w:val="32"/>
        </w:rPr>
        <w:t>自2023年起，该单位实行</w:t>
      </w:r>
      <w:r>
        <w:rPr>
          <w:rFonts w:hint="eastAsia" w:ascii="仿宋_GB2312" w:eastAsia="仿宋_GB2312"/>
          <w:sz w:val="32"/>
          <w:szCs w:val="32"/>
        </w:rPr>
        <w:t>财务独立核算，单独编制部门预、决算。主要核算内容为该事业单位人员经费，邮电费，银行手续费以及其他可以细化核算的经费开支。</w:t>
      </w:r>
    </w:p>
    <w:p>
      <w:pPr>
        <w:rPr>
          <w:rFonts w:ascii="黑体" w:eastAsia="黑体"/>
          <w:sz w:val="52"/>
          <w:szCs w:val="52"/>
        </w:rPr>
      </w:pPr>
      <w:r>
        <w:rPr>
          <w:rFonts w:ascii="黑体" w:eastAsia="黑体"/>
          <w:sz w:val="52"/>
          <w:szCs w:val="52"/>
        </w:rPr>
        <w:br w:type="page"/>
      </w:r>
    </w:p>
    <w:p>
      <w:pPr>
        <w:adjustRightInd w:val="0"/>
        <w:snapToGrid w:val="0"/>
        <w:spacing w:line="540" w:lineRule="exact"/>
        <w:rPr>
          <w:rFonts w:ascii="黑体" w:eastAsia="黑体"/>
          <w:b/>
          <w:sz w:val="36"/>
          <w:szCs w:val="36"/>
        </w:rPr>
      </w:pPr>
      <w:r>
        <w:rPr>
          <w:rFonts w:hint="eastAsia" w:ascii="黑体" w:eastAsia="黑体"/>
          <w:sz w:val="52"/>
          <w:szCs w:val="52"/>
        </w:rPr>
        <w:t>第二部分</w:t>
      </w:r>
    </w:p>
    <w:p>
      <w:pPr>
        <w:spacing w:line="540" w:lineRule="exact"/>
        <w:rPr>
          <w:rFonts w:ascii="黑体" w:eastAsia="黑体"/>
          <w:sz w:val="52"/>
          <w:szCs w:val="52"/>
        </w:rPr>
      </w:pPr>
    </w:p>
    <w:p>
      <w:pPr>
        <w:spacing w:line="540" w:lineRule="exact"/>
        <w:jc w:val="center"/>
        <w:rPr>
          <w:rFonts w:ascii="黑体" w:eastAsia="黑体"/>
          <w:sz w:val="52"/>
          <w:szCs w:val="52"/>
        </w:rPr>
      </w:pPr>
    </w:p>
    <w:p>
      <w:pPr>
        <w:spacing w:line="540" w:lineRule="exact"/>
        <w:jc w:val="center"/>
        <w:rPr>
          <w:rFonts w:ascii="黑体" w:eastAsia="黑体"/>
          <w:sz w:val="52"/>
          <w:szCs w:val="52"/>
        </w:rPr>
      </w:pPr>
    </w:p>
    <w:p>
      <w:pPr>
        <w:spacing w:line="540" w:lineRule="exact"/>
        <w:jc w:val="center"/>
        <w:rPr>
          <w:rFonts w:ascii="黑体" w:eastAsia="黑体"/>
          <w:sz w:val="52"/>
          <w:szCs w:val="52"/>
        </w:rPr>
      </w:pPr>
    </w:p>
    <w:p>
      <w:pPr>
        <w:spacing w:line="540" w:lineRule="exact"/>
        <w:jc w:val="center"/>
        <w:rPr>
          <w:rFonts w:ascii="黑体" w:eastAsia="黑体"/>
          <w:sz w:val="52"/>
          <w:szCs w:val="52"/>
        </w:rPr>
      </w:pPr>
    </w:p>
    <w:p>
      <w:pPr>
        <w:spacing w:line="540" w:lineRule="exact"/>
        <w:jc w:val="center"/>
        <w:rPr>
          <w:rFonts w:ascii="黑体" w:eastAsia="黑体"/>
          <w:sz w:val="52"/>
          <w:szCs w:val="52"/>
        </w:rPr>
      </w:pPr>
    </w:p>
    <w:p>
      <w:pPr>
        <w:spacing w:line="540" w:lineRule="exact"/>
        <w:jc w:val="center"/>
        <w:rPr>
          <w:rFonts w:ascii="黑体" w:eastAsia="黑体"/>
          <w:sz w:val="52"/>
          <w:szCs w:val="52"/>
        </w:rPr>
      </w:pPr>
      <w:r>
        <w:rPr>
          <w:rFonts w:hint="eastAsia" w:ascii="黑体" w:eastAsia="黑体"/>
          <w:sz w:val="52"/>
          <w:szCs w:val="52"/>
        </w:rPr>
        <w:t>2024年部门预算表</w:t>
      </w:r>
    </w:p>
    <w:p>
      <w:pPr>
        <w:spacing w:line="540" w:lineRule="exact"/>
        <w:jc w:val="center"/>
        <w:rPr>
          <w:rFonts w:ascii="黑体" w:eastAsia="黑体"/>
          <w:sz w:val="52"/>
          <w:szCs w:val="52"/>
        </w:rPr>
      </w:pPr>
    </w:p>
    <w:p>
      <w:pPr>
        <w:adjustRightInd w:val="0"/>
        <w:snapToGrid w:val="0"/>
        <w:spacing w:line="540" w:lineRule="exact"/>
        <w:jc w:val="center"/>
        <w:rPr>
          <w:rFonts w:ascii="黑体" w:eastAsia="黑体"/>
          <w:b/>
          <w:sz w:val="36"/>
          <w:szCs w:val="36"/>
        </w:rPr>
      </w:pPr>
      <w:r>
        <w:rPr>
          <w:rFonts w:hint="eastAsia" w:ascii="黑体" w:eastAsia="黑体"/>
          <w:b/>
          <w:sz w:val="36"/>
          <w:szCs w:val="36"/>
        </w:rPr>
        <w:t>[</w:t>
      </w:r>
      <w:r>
        <w:rPr>
          <w:rFonts w:ascii="黑体" w:eastAsia="黑体"/>
          <w:b/>
          <w:sz w:val="36"/>
          <w:szCs w:val="36"/>
        </w:rPr>
        <w:t>附件2：青岛市市北区人民法院司法技术中心</w:t>
      </w:r>
    </w:p>
    <w:p>
      <w:pPr>
        <w:adjustRightInd w:val="0"/>
        <w:snapToGrid w:val="0"/>
        <w:spacing w:line="540" w:lineRule="exact"/>
        <w:ind w:firstLine="1428" w:firstLineChars="395"/>
        <w:jc w:val="center"/>
        <w:rPr>
          <w:rFonts w:ascii="黑体" w:eastAsia="黑体"/>
          <w:b/>
          <w:sz w:val="36"/>
          <w:szCs w:val="36"/>
        </w:rPr>
      </w:pPr>
      <w:r>
        <w:rPr>
          <w:rFonts w:ascii="黑体" w:eastAsia="黑体"/>
          <w:b/>
          <w:sz w:val="36"/>
          <w:szCs w:val="36"/>
        </w:rPr>
        <w:t>2024年部</w:t>
      </w:r>
      <w:r>
        <w:rPr>
          <w:rFonts w:hint="eastAsia" w:ascii="黑体" w:eastAsia="黑体"/>
          <w:b/>
          <w:sz w:val="36"/>
          <w:szCs w:val="36"/>
        </w:rPr>
        <w:t>门</w:t>
      </w:r>
      <w:r>
        <w:rPr>
          <w:rFonts w:ascii="黑体" w:eastAsia="黑体"/>
          <w:b/>
          <w:sz w:val="36"/>
          <w:szCs w:val="36"/>
        </w:rPr>
        <w:t>预算</w:t>
      </w:r>
      <w:r>
        <w:rPr>
          <w:rFonts w:hint="eastAsia" w:ascii="黑体" w:eastAsia="黑体"/>
          <w:b/>
          <w:sz w:val="36"/>
          <w:szCs w:val="36"/>
        </w:rPr>
        <w:t>表格（表1-10）</w:t>
      </w:r>
    </w:p>
    <w:p>
      <w:pPr>
        <w:adjustRightInd w:val="0"/>
        <w:snapToGrid w:val="0"/>
        <w:spacing w:line="540" w:lineRule="exact"/>
        <w:ind w:firstLine="177" w:firstLineChars="49"/>
        <w:jc w:val="center"/>
        <w:rPr>
          <w:rFonts w:ascii="黑体" w:eastAsia="黑体"/>
          <w:b/>
          <w:sz w:val="36"/>
          <w:szCs w:val="36"/>
        </w:rPr>
      </w:pPr>
      <w:r>
        <w:rPr>
          <w:rFonts w:hint="eastAsia" w:ascii="黑体" w:eastAsia="黑体"/>
          <w:b/>
          <w:sz w:val="36"/>
          <w:szCs w:val="36"/>
        </w:rPr>
        <w:t>附件3：青岛市市北区人民法院司法技术中心</w:t>
      </w:r>
    </w:p>
    <w:p>
      <w:pPr>
        <w:adjustRightInd w:val="0"/>
        <w:snapToGrid w:val="0"/>
        <w:spacing w:line="540" w:lineRule="exact"/>
        <w:ind w:firstLine="1428" w:firstLineChars="395"/>
        <w:jc w:val="center"/>
        <w:rPr>
          <w:rFonts w:ascii="黑体" w:eastAsia="黑体"/>
          <w:b/>
          <w:sz w:val="36"/>
          <w:szCs w:val="36"/>
        </w:rPr>
      </w:pPr>
      <w:r>
        <w:rPr>
          <w:rFonts w:hint="eastAsia" w:ascii="黑体" w:eastAsia="黑体"/>
          <w:b/>
          <w:sz w:val="36"/>
          <w:szCs w:val="36"/>
        </w:rPr>
        <w:t>2024年政府采购预算表（表11）</w:t>
      </w:r>
    </w:p>
    <w:p>
      <w:pPr>
        <w:adjustRightInd w:val="0"/>
        <w:snapToGrid w:val="0"/>
        <w:spacing w:line="540" w:lineRule="exact"/>
        <w:ind w:firstLine="177" w:firstLineChars="49"/>
        <w:jc w:val="center"/>
        <w:rPr>
          <w:rFonts w:ascii="黑体" w:eastAsia="黑体"/>
          <w:b/>
          <w:sz w:val="36"/>
          <w:szCs w:val="36"/>
        </w:rPr>
      </w:pPr>
      <w:r>
        <w:rPr>
          <w:rFonts w:hint="eastAsia" w:ascii="黑体" w:eastAsia="黑体"/>
          <w:b/>
          <w:sz w:val="36"/>
          <w:szCs w:val="36"/>
        </w:rPr>
        <w:t>附件4：青岛市市北区人民法院司法技术中心</w:t>
      </w:r>
    </w:p>
    <w:p>
      <w:pPr>
        <w:adjustRightInd w:val="0"/>
        <w:snapToGrid w:val="0"/>
        <w:spacing w:line="540" w:lineRule="exact"/>
        <w:ind w:firstLine="1428" w:firstLineChars="395"/>
        <w:jc w:val="center"/>
        <w:rPr>
          <w:rFonts w:ascii="黑体" w:eastAsia="黑体"/>
          <w:b/>
          <w:sz w:val="36"/>
          <w:szCs w:val="36"/>
        </w:rPr>
      </w:pPr>
      <w:r>
        <w:rPr>
          <w:rFonts w:hint="eastAsia" w:ascii="黑体" w:eastAsia="黑体"/>
          <w:b/>
          <w:sz w:val="36"/>
          <w:szCs w:val="36"/>
        </w:rPr>
        <w:t>2024年政府购买服务预算表（表12）</w:t>
      </w:r>
    </w:p>
    <w:p>
      <w:pPr>
        <w:adjustRightInd w:val="0"/>
        <w:snapToGrid w:val="0"/>
        <w:spacing w:line="540" w:lineRule="exact"/>
        <w:ind w:firstLine="177" w:firstLineChars="49"/>
        <w:jc w:val="center"/>
        <w:rPr>
          <w:rFonts w:ascii="黑体" w:eastAsia="黑体"/>
          <w:b/>
          <w:sz w:val="36"/>
          <w:szCs w:val="36"/>
        </w:rPr>
      </w:pPr>
      <w:r>
        <w:rPr>
          <w:rFonts w:hint="eastAsia" w:ascii="黑体" w:eastAsia="黑体"/>
          <w:b/>
          <w:sz w:val="36"/>
          <w:szCs w:val="36"/>
        </w:rPr>
        <w:t>附件5：青岛市市北区人民法院司法技术中心</w:t>
      </w:r>
    </w:p>
    <w:p>
      <w:pPr>
        <w:adjustRightInd w:val="0"/>
        <w:snapToGrid w:val="0"/>
        <w:spacing w:line="540" w:lineRule="exact"/>
        <w:ind w:firstLine="1428" w:firstLineChars="395"/>
        <w:jc w:val="center"/>
        <w:rPr>
          <w:rFonts w:ascii="黑体" w:eastAsia="黑体"/>
          <w:b/>
          <w:sz w:val="36"/>
          <w:szCs w:val="36"/>
        </w:rPr>
      </w:pPr>
      <w:r>
        <w:rPr>
          <w:rFonts w:hint="eastAsia" w:ascii="黑体" w:eastAsia="黑体"/>
          <w:b/>
          <w:sz w:val="36"/>
          <w:szCs w:val="36"/>
        </w:rPr>
        <w:t>2024年项目支出绩效表（表13）]</w:t>
      </w:r>
    </w:p>
    <w:p>
      <w:pPr>
        <w:rPr>
          <w:rFonts w:ascii="黑体" w:eastAsia="黑体"/>
          <w:b/>
          <w:sz w:val="36"/>
          <w:szCs w:val="36"/>
        </w:rPr>
      </w:pPr>
      <w:r>
        <w:rPr>
          <w:rFonts w:ascii="黑体" w:eastAsia="黑体"/>
          <w:b/>
          <w:sz w:val="36"/>
          <w:szCs w:val="36"/>
        </w:rPr>
        <w:br w:type="page"/>
      </w:r>
    </w:p>
    <w:p>
      <w:pPr>
        <w:spacing w:line="540" w:lineRule="exact"/>
        <w:rPr>
          <w:rFonts w:ascii="黑体" w:eastAsia="黑体"/>
          <w:sz w:val="52"/>
          <w:szCs w:val="52"/>
        </w:rPr>
      </w:pPr>
      <w:r>
        <w:rPr>
          <w:rFonts w:hint="eastAsia" w:ascii="黑体" w:eastAsia="黑体"/>
          <w:sz w:val="52"/>
          <w:szCs w:val="52"/>
        </w:rPr>
        <w:t>第三部分</w:t>
      </w:r>
    </w:p>
    <w:p>
      <w:pPr>
        <w:spacing w:line="540" w:lineRule="exact"/>
        <w:rPr>
          <w:rFonts w:ascii="黑体" w:eastAsia="黑体"/>
          <w:sz w:val="52"/>
          <w:szCs w:val="52"/>
        </w:rPr>
      </w:pPr>
    </w:p>
    <w:p>
      <w:pPr>
        <w:spacing w:line="540" w:lineRule="exact"/>
        <w:ind w:left="277" w:leftChars="8" w:hanging="260" w:hangingChars="50"/>
        <w:jc w:val="center"/>
        <w:rPr>
          <w:rFonts w:ascii="黑体" w:eastAsia="黑体"/>
          <w:sz w:val="52"/>
          <w:szCs w:val="52"/>
        </w:rPr>
      </w:pPr>
      <w:r>
        <w:rPr>
          <w:rFonts w:hint="eastAsia" w:ascii="黑体" w:eastAsia="黑体"/>
          <w:sz w:val="52"/>
          <w:szCs w:val="52"/>
        </w:rPr>
        <w:t>2024年部门预算情况和</w:t>
      </w:r>
    </w:p>
    <w:p>
      <w:pPr>
        <w:spacing w:line="540" w:lineRule="exact"/>
        <w:ind w:left="277" w:leftChars="8" w:hanging="260" w:hangingChars="50"/>
        <w:jc w:val="center"/>
        <w:rPr>
          <w:rFonts w:ascii="黑体" w:eastAsia="黑体"/>
          <w:sz w:val="52"/>
          <w:szCs w:val="52"/>
        </w:rPr>
      </w:pPr>
      <w:r>
        <w:rPr>
          <w:rFonts w:hint="eastAsia" w:ascii="黑体" w:eastAsia="黑体"/>
          <w:sz w:val="52"/>
          <w:szCs w:val="52"/>
        </w:rPr>
        <w:t>重要事项说明</w:t>
      </w:r>
    </w:p>
    <w:p>
      <w:pPr>
        <w:spacing w:line="540" w:lineRule="exact"/>
        <w:ind w:left="277" w:leftChars="8" w:hanging="260" w:hangingChars="50"/>
        <w:jc w:val="center"/>
        <w:rPr>
          <w:rFonts w:ascii="黑体" w:eastAsia="黑体"/>
          <w:sz w:val="52"/>
          <w:szCs w:val="52"/>
        </w:rPr>
      </w:pPr>
    </w:p>
    <w:p>
      <w:pPr>
        <w:spacing w:line="540" w:lineRule="exact"/>
        <w:ind w:firstLine="640" w:firstLineChars="200"/>
        <w:rPr>
          <w:rFonts w:ascii="黑体" w:eastAsia="黑体"/>
          <w:sz w:val="32"/>
          <w:szCs w:val="32"/>
        </w:rPr>
      </w:pPr>
      <w:r>
        <w:rPr>
          <w:rFonts w:hint="eastAsia" w:ascii="黑体" w:eastAsia="黑体"/>
          <w:sz w:val="32"/>
          <w:szCs w:val="32"/>
        </w:rPr>
        <w:t>一、2024年部门预算情况说明</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（一）2024年收支预算总体情况说明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按照综合预算的原则，2024年青岛市市北区人民法院司法技术中心收入</w:t>
      </w:r>
      <w:r>
        <w:rPr>
          <w:rFonts w:hint="eastAsia" w:ascii="仿宋_GB2312" w:eastAsia="仿宋_GB2312" w:cs="Courier New"/>
          <w:sz w:val="32"/>
          <w:szCs w:val="32"/>
        </w:rPr>
        <w:t>包括：一般公共预算拨款收入；支出包括：公共安全支出、社会保障和就业支出、住房保障支出。</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2024年收入预算为350.71万元,其中，财政拨款350.71万元，占100 %。</w:t>
      </w:r>
    </w:p>
    <w:p>
      <w:pPr>
        <w:adjustRightInd w:val="0"/>
        <w:snapToGrid w:val="0"/>
        <w:spacing w:line="540" w:lineRule="exact"/>
        <w:ind w:firstLine="640" w:firstLineChars="200"/>
        <w:rPr>
          <w:rFonts w:ascii="仿宋_GB2312" w:eastAsia="仿宋_GB2312"/>
          <w:bCs/>
          <w:sz w:val="32"/>
          <w:szCs w:val="32"/>
        </w:rPr>
      </w:pPr>
      <w:r>
        <w:rPr>
          <w:rFonts w:hint="eastAsia" w:ascii="仿宋_GB2312" w:eastAsia="仿宋_GB2312"/>
          <w:bCs/>
          <w:sz w:val="32"/>
          <w:szCs w:val="32"/>
        </w:rPr>
        <w:t>2024年</w:t>
      </w:r>
      <w:r>
        <w:rPr>
          <w:rFonts w:hint="eastAsia" w:ascii="仿宋_GB2312" w:eastAsia="仿宋_GB2312"/>
          <w:sz w:val="32"/>
          <w:szCs w:val="32"/>
        </w:rPr>
        <w:t>支出预算为350.71万元，</w:t>
      </w:r>
      <w:r>
        <w:rPr>
          <w:rFonts w:hint="eastAsia" w:ascii="仿宋_GB2312" w:eastAsia="仿宋_GB2312"/>
          <w:bCs/>
          <w:sz w:val="32"/>
          <w:szCs w:val="32"/>
        </w:rPr>
        <w:t>其中，基本支出350.71万元，占100%，无项目支出。</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与2023年相比，收入、支出总计各增加9.38万元，增长2.75 %。主要原因：人员变动和工资的调整。</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（二）2024年收入预算情况说明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2024年青岛市市北区人民法院司法技术中心收入预算为350.71万元。其中：财政拨款收入350.71万元，占100 %。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（三）2024年支出预算情况说明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2024年青岛市市北区人民法院司法技术中心支出预算为350.71万元，全部为基本支出。</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（四）2024年财政拨款收入支出预算总体情况说明</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2024年财政拨款收支预算350.71万元。与2023年相比，财政拨款收入、支出总计各增加9.38万元，增长2.75 %。主要原因是人员变动和工资的调整。</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（五）2024年一般公共预算财政拨款收入支出预算增减变化情况说明</w:t>
      </w:r>
    </w:p>
    <w:p>
      <w:pPr>
        <w:snapToGrid w:val="0"/>
        <w:spacing w:line="30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青岛市市北区人民法院司法技术中心2024年一般公共预算收入350.71万元，与2023年相比，增加9.38万元，比上年增长2.75 %。主要原因是人员变动和工资的调整。</w:t>
      </w:r>
    </w:p>
    <w:p>
      <w:pPr>
        <w:snapToGrid w:val="0"/>
        <w:spacing w:line="30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2024年一般公共预算支出350.71万元，与2023年相比，增加9.38万元，比上年增长2.75 %。主要原因是人员变动和工资的调整。</w:t>
      </w:r>
      <w:r>
        <w:rPr>
          <w:rFonts w:hint="eastAsia" w:ascii="仿宋_GB2312" w:hAnsi="仿宋_GB2312" w:eastAsia="仿宋_GB2312" w:cs="仿宋_GB2312"/>
          <w:sz w:val="32"/>
          <w:szCs w:val="32"/>
        </w:rPr>
        <w:t>其中：</w:t>
      </w:r>
      <w:r>
        <w:rPr>
          <w:rFonts w:hint="eastAsia" w:ascii="仿宋" w:hAnsi="仿宋" w:eastAsia="仿宋" w:cs="仿宋_GB2312"/>
          <w:sz w:val="32"/>
          <w:szCs w:val="32"/>
        </w:rPr>
        <w:t>事业运行支出255.02万元，占72.72%；社会保障和就业支出39.78万元，占11.34%；住房公积金55.91万元，占15.94%。</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具体情况如下：</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1、事业运行255.02万元，比上年减少9.62%，主要原因是人员变动和工资的调整。</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2、机关事业单位基本养老保险缴费支出26.52万元，比上年增长4.25%，机关事业单位职业年金缴费支出13.26万元，比上年增长4.25%，主要原因是人员变动和工资的调整，社保扣缴比例变动。</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3、住房公积金支出55.91万元，比上年增长165.98%，主要原因是人员变动和工资的调整。</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（六）政府性基金预算收支情况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青岛市市北区人民法院司法技术中心</w:t>
      </w:r>
      <w:r>
        <w:rPr>
          <w:rFonts w:hint="eastAsia" w:ascii="仿宋_GB2312" w:eastAsia="仿宋_GB2312" w:cs="仿宋_GB2312"/>
          <w:bCs/>
          <w:sz w:val="32"/>
          <w:szCs w:val="32"/>
        </w:rPr>
        <w:t>2024年</w:t>
      </w:r>
      <w:r>
        <w:rPr>
          <w:rFonts w:hint="eastAsia" w:ascii="仿宋_GB2312" w:hAnsi="宋体" w:eastAsia="仿宋_GB2312" w:cs="Courier New"/>
          <w:sz w:val="32"/>
          <w:szCs w:val="32"/>
        </w:rPr>
        <w:t>没有政府性基金预算拨款安排的收入，也没有使用政府性基金预算拨款安排的支出。</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（七）2024年财政拨款基本支出预算情况说明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2024年，通过财政拨款安排的青岛市市北区人民法院司法技术中心基本支出为350.71万元。主要包括：</w:t>
      </w:r>
    </w:p>
    <w:p>
      <w:pPr>
        <w:spacing w:line="540" w:lineRule="exact"/>
        <w:ind w:firstLine="595" w:firstLineChars="186"/>
        <w:rPr>
          <w:rFonts w:ascii="仿宋_GB2312" w:eastAsia="仿宋_GB2312"/>
          <w:sz w:val="32"/>
          <w:szCs w:val="32"/>
        </w:rPr>
      </w:pPr>
      <w:r>
        <w:rPr>
          <w:rFonts w:hint="eastAsia" w:ascii="仿宋_GB2312" w:eastAsia="仿宋_GB2312"/>
          <w:sz w:val="32"/>
          <w:szCs w:val="32"/>
        </w:rPr>
        <w:t>人员经费支出为331.81万元。按部门预算支出经济分类主要包括：基本工资、津贴补贴、绩效工资、机关事业单位基本养老保险缴费、职业年金缴费、职工基本医疗保险缴费、其他社会保障缴费、住房公积金、退休费等。按政府预算支出经济分类主要包括：工资奖金津补贴、社会保障缴费、住房公积金、离退休费等。</w:t>
      </w:r>
    </w:p>
    <w:p>
      <w:pPr>
        <w:spacing w:line="540" w:lineRule="exact"/>
        <w:ind w:firstLine="600"/>
        <w:rPr>
          <w:rFonts w:ascii="仿宋_GB2312" w:eastAsia="仿宋_GB2312"/>
          <w:sz w:val="32"/>
          <w:szCs w:val="32"/>
        </w:rPr>
      </w:pPr>
      <w:r>
        <w:rPr>
          <w:rFonts w:hint="eastAsia" w:ascii="仿宋_GB2312" w:eastAsia="仿宋_GB2312"/>
          <w:sz w:val="32"/>
          <w:szCs w:val="32"/>
        </w:rPr>
        <w:t>公用经费18.9万元。按部门预算支出经济分类主要包括：办公费、手续费、邮电费、被装购置费、工会经费、公务用车运行维护费、其他商品和服务支出</w:t>
      </w:r>
      <w:r>
        <w:rPr>
          <w:rFonts w:hint="eastAsia" w:eastAsia="仿宋_GB2312"/>
          <w:sz w:val="32"/>
          <w:szCs w:val="32"/>
        </w:rPr>
        <w:t>等</w:t>
      </w:r>
      <w:r>
        <w:rPr>
          <w:rFonts w:hint="eastAsia" w:ascii="仿宋_GB2312" w:eastAsia="仿宋_GB2312"/>
          <w:sz w:val="32"/>
          <w:szCs w:val="32"/>
        </w:rPr>
        <w:t>。按政府预算支出经济分类主要包括：办公经费、公务用车运行维护费、其他商品和服务支出等。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（八）2024年财政拨款安排的“三公”经费情况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2024年，通过财政拨款安排的青岛市市北区人民法院司法技术中心“三公”经费预算1.05万元，全部为公务用车运行维护费，比2023年减少0.14万元，减少11.76%，减少的主要原因是：</w:t>
      </w:r>
      <w:r>
        <w:rPr>
          <w:rFonts w:ascii="仿宋_GB2312" w:eastAsia="仿宋_GB2312"/>
          <w:sz w:val="32"/>
          <w:szCs w:val="32"/>
        </w:rPr>
        <w:t>人员调整减少预算</w:t>
      </w:r>
      <w:r>
        <w:rPr>
          <w:rFonts w:hint="eastAsia" w:ascii="仿宋_GB2312" w:eastAsia="仿宋_GB2312"/>
          <w:sz w:val="32"/>
          <w:szCs w:val="32"/>
        </w:rPr>
        <w:t>。2024年度无公务接待费，因公出国（境）费预算以及公务用车购置费预算。</w:t>
      </w:r>
    </w:p>
    <w:p>
      <w:pPr>
        <w:spacing w:line="540" w:lineRule="exact"/>
        <w:ind w:firstLine="640" w:firstLineChars="200"/>
        <w:rPr>
          <w:rFonts w:ascii="黑体" w:eastAsia="黑体"/>
          <w:sz w:val="32"/>
          <w:szCs w:val="32"/>
        </w:rPr>
      </w:pPr>
      <w:r>
        <w:rPr>
          <w:rFonts w:hint="eastAsia" w:ascii="黑体" w:eastAsia="黑体"/>
          <w:sz w:val="32"/>
          <w:szCs w:val="32"/>
        </w:rPr>
        <w:t>二、其他重要事项的情况说明</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（一）机关运行经费情况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青岛市市北区人民法院司法技术中心机关运行经费支出18.9万元，比2023年减少2.52万元，减少11.76%，主要原因是：严格执行中央八项规定以及国家标准的“三保”（保工资，保运转，保基本民生）相关要求，大力压减各项支出，充分做好“过紧日子”的思想准备。</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（二）政府采购情况</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2024年青岛市市北区人民法院司法技术中心未安排政府采购预算和政府购买服务预算。</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（三）国有资产占用情况说明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截至2023年12月31日，青岛市市北区人民法院司法技术中心无在用公务车辆；无固定资产，单位价值200万元以上大型设备0台（套）。</w:t>
      </w:r>
    </w:p>
    <w:p>
      <w:pPr>
        <w:spacing w:line="540" w:lineRule="exact"/>
        <w:ind w:firstLine="640" w:firstLineChars="200"/>
        <w:rPr>
          <w:rFonts w:ascii="楷体_GB2312" w:eastAsia="楷体_GB2312"/>
          <w:sz w:val="32"/>
          <w:szCs w:val="32"/>
        </w:rPr>
      </w:pPr>
      <w:r>
        <w:rPr>
          <w:rFonts w:hint="eastAsia" w:ascii="楷体_GB2312" w:eastAsia="楷体_GB2312"/>
          <w:bCs/>
          <w:sz w:val="32"/>
          <w:szCs w:val="32"/>
        </w:rPr>
        <w:t>（四）</w:t>
      </w:r>
      <w:r>
        <w:rPr>
          <w:rFonts w:hint="eastAsia" w:ascii="楷体_GB2312" w:eastAsia="楷体_GB2312"/>
          <w:sz w:val="32"/>
          <w:szCs w:val="32"/>
        </w:rPr>
        <w:t>重点项目情况说明</w:t>
      </w:r>
    </w:p>
    <w:p>
      <w:pPr>
        <w:adjustRightInd w:val="0"/>
        <w:snapToGrid w:val="0"/>
        <w:spacing w:line="540" w:lineRule="exact"/>
        <w:ind w:firstLine="640" w:firstLineChars="200"/>
        <w:rPr>
          <w:rFonts w:ascii="楷体_GB2312" w:eastAsia="楷体_GB2312"/>
          <w:sz w:val="32"/>
          <w:szCs w:val="32"/>
        </w:rPr>
      </w:pPr>
      <w:r>
        <w:rPr>
          <w:rFonts w:hint="eastAsia" w:ascii="仿宋_GB2312" w:eastAsia="仿宋_GB2312" w:cs="仿宋_GB2312"/>
          <w:bCs/>
          <w:sz w:val="32"/>
          <w:szCs w:val="32"/>
        </w:rPr>
        <w:t>青岛市市北区人民法院司法技术中心2024年无重点项目，预算金额0元。</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（五）预算绩效目标设置情况说明</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2024年，青岛市市北区人民法院司法技术中心无绩效目标管理的项目，涉及财政拨款0元。</w:t>
      </w:r>
    </w:p>
    <w:p>
      <w:pPr>
        <w:rPr>
          <w:rFonts w:ascii="黑体" w:eastAsia="黑体"/>
          <w:sz w:val="52"/>
          <w:szCs w:val="52"/>
        </w:rPr>
      </w:pPr>
      <w:r>
        <w:rPr>
          <w:rFonts w:ascii="黑体" w:eastAsia="黑体"/>
          <w:sz w:val="52"/>
          <w:szCs w:val="52"/>
        </w:rPr>
        <w:br w:type="page"/>
      </w:r>
    </w:p>
    <w:p>
      <w:pPr>
        <w:adjustRightInd w:val="0"/>
        <w:snapToGrid w:val="0"/>
        <w:spacing w:line="540" w:lineRule="exact"/>
        <w:rPr>
          <w:rFonts w:ascii="仿宋_GB2312" w:eastAsia="仿宋_GB2312"/>
          <w:sz w:val="32"/>
          <w:szCs w:val="32"/>
        </w:rPr>
      </w:pPr>
      <w:r>
        <w:rPr>
          <w:rFonts w:hint="eastAsia" w:ascii="黑体" w:eastAsia="黑体"/>
          <w:sz w:val="52"/>
          <w:szCs w:val="52"/>
        </w:rPr>
        <w:t>第四部分</w:t>
      </w:r>
    </w:p>
    <w:p>
      <w:pPr>
        <w:rPr>
          <w:rFonts w:ascii="黑体" w:eastAsia="黑体"/>
          <w:sz w:val="48"/>
          <w:szCs w:val="48"/>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snapToGrid w:val="0"/>
        <w:spacing w:line="300" w:lineRule="auto"/>
        <w:ind w:firstLine="600"/>
        <w:rPr>
          <w:rFonts w:ascii="仿宋" w:hAnsi="仿宋" w:eastAsia="仿宋"/>
          <w:sz w:val="32"/>
          <w:szCs w:val="32"/>
        </w:rPr>
      </w:pPr>
      <w:r>
        <w:rPr>
          <w:rFonts w:hint="eastAsia" w:ascii="黑体" w:hAnsi="黑体" w:eastAsia="黑体"/>
          <w:color w:val="000000"/>
          <w:sz w:val="32"/>
          <w:szCs w:val="32"/>
        </w:rPr>
        <w:t>一、财政拨款收入：</w:t>
      </w:r>
      <w:r>
        <w:rPr>
          <w:rFonts w:hint="eastAsia" w:ascii="仿宋" w:hAnsi="仿宋" w:eastAsia="仿宋"/>
          <w:sz w:val="32"/>
          <w:szCs w:val="32"/>
        </w:rPr>
        <w:t>指由市级财政当年拨付的资金。按现行管理制度，市级部门预算中反映的财政拨款包括一般公共预算财政拨款和政府性基金财政拨款。</w:t>
      </w:r>
    </w:p>
    <w:p>
      <w:pPr>
        <w:snapToGrid w:val="0"/>
        <w:spacing w:line="300" w:lineRule="auto"/>
        <w:ind w:firstLine="640" w:firstLineChars="200"/>
        <w:rPr>
          <w:rFonts w:ascii="仿宋" w:hAnsi="仿宋" w:eastAsia="仿宋"/>
          <w:sz w:val="32"/>
          <w:szCs w:val="32"/>
        </w:rPr>
      </w:pPr>
      <w:r>
        <w:rPr>
          <w:rFonts w:hint="eastAsia" w:ascii="黑体" w:hAnsi="黑体" w:eastAsia="黑体"/>
          <w:color w:val="000000"/>
          <w:sz w:val="32"/>
          <w:szCs w:val="32"/>
        </w:rPr>
        <w:t>二、上级补助收入：</w:t>
      </w:r>
      <w:r>
        <w:rPr>
          <w:rFonts w:hint="eastAsia" w:ascii="仿宋" w:hAnsi="仿宋" w:eastAsia="仿宋"/>
          <w:sz w:val="32"/>
          <w:szCs w:val="32"/>
        </w:rPr>
        <w:t>指事业单位从主管部门和上级单位取得的非财政补助收入。</w:t>
      </w:r>
    </w:p>
    <w:p>
      <w:pPr>
        <w:snapToGrid w:val="0"/>
        <w:spacing w:line="300" w:lineRule="auto"/>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 w:hAnsi="仿宋" w:eastAsia="仿宋"/>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pPr>
        <w:snapToGrid w:val="0"/>
        <w:spacing w:line="300" w:lineRule="auto"/>
        <w:ind w:firstLine="640" w:firstLineChars="200"/>
        <w:rPr>
          <w:rFonts w:ascii="仿宋" w:hAnsi="仿宋" w:eastAsia="仿宋"/>
          <w:sz w:val="32"/>
          <w:szCs w:val="32"/>
        </w:rPr>
      </w:pPr>
      <w:r>
        <w:rPr>
          <w:rFonts w:hint="eastAsia" w:ascii="黑体" w:hAnsi="黑体" w:eastAsia="黑体"/>
          <w:sz w:val="32"/>
          <w:szCs w:val="32"/>
        </w:rPr>
        <w:t>四、附属单位上缴收入：</w:t>
      </w:r>
      <w:r>
        <w:rPr>
          <w:rFonts w:hint="eastAsia" w:ascii="仿宋" w:hAnsi="仿宋" w:eastAsia="仿宋"/>
          <w:sz w:val="32"/>
          <w:szCs w:val="32"/>
        </w:rPr>
        <w:t>指事业单位附属独立核算单位按照有关规定上缴的收入。</w:t>
      </w:r>
    </w:p>
    <w:p>
      <w:pPr>
        <w:snapToGrid w:val="0"/>
        <w:spacing w:line="300" w:lineRule="auto"/>
        <w:ind w:firstLine="640" w:firstLineChars="200"/>
        <w:rPr>
          <w:rFonts w:ascii="仿宋_GB2312" w:hAnsi="仿宋" w:eastAsia="仿宋_GB2312"/>
          <w:sz w:val="32"/>
          <w:szCs w:val="32"/>
        </w:rPr>
      </w:pPr>
      <w:r>
        <w:rPr>
          <w:rFonts w:hint="eastAsia" w:ascii="黑体" w:hAnsi="黑体" w:eastAsia="黑体"/>
          <w:sz w:val="32"/>
          <w:szCs w:val="32"/>
        </w:rPr>
        <w:t>五、经营收入：</w:t>
      </w:r>
      <w:r>
        <w:rPr>
          <w:rFonts w:hint="eastAsia" w:ascii="仿宋" w:hAnsi="仿宋" w:eastAsia="仿宋"/>
          <w:sz w:val="32"/>
          <w:szCs w:val="32"/>
        </w:rPr>
        <w:t>指事业单位在专业业务活动及其辅助活动之外开展非独立核算经营活动取得的收入。</w:t>
      </w:r>
    </w:p>
    <w:p>
      <w:pPr>
        <w:snapToGrid w:val="0"/>
        <w:spacing w:line="300" w:lineRule="auto"/>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 w:hAnsi="仿宋" w:eastAsia="仿宋"/>
          <w:sz w:val="32"/>
          <w:szCs w:val="32"/>
        </w:rPr>
        <w:t>指单位取得的除上述“财政拨款收入”、“上级补助收入”、“事业收入”、 “附属单位上缴收入”、“经营收入”等以外的各项收入，包括利息收入、捐赠收入等。</w:t>
      </w:r>
    </w:p>
    <w:p>
      <w:pPr>
        <w:snapToGrid w:val="0"/>
        <w:spacing w:line="300" w:lineRule="auto"/>
        <w:ind w:firstLine="600"/>
        <w:rPr>
          <w:rFonts w:ascii="仿宋_GB2312" w:eastAsia="仿宋_GB2312"/>
          <w:sz w:val="32"/>
          <w:szCs w:val="32"/>
        </w:rPr>
      </w:pPr>
      <w:r>
        <w:rPr>
          <w:rFonts w:hint="eastAsia" w:ascii="黑体" w:hAnsi="黑体" w:eastAsia="黑体"/>
          <w:sz w:val="32"/>
          <w:szCs w:val="32"/>
        </w:rPr>
        <w:t>七、上年结转：</w:t>
      </w:r>
      <w:r>
        <w:rPr>
          <w:rFonts w:hint="eastAsia" w:ascii="仿宋" w:hAnsi="仿宋" w:eastAsia="仿宋"/>
          <w:sz w:val="32"/>
          <w:szCs w:val="32"/>
        </w:rPr>
        <w:t>指以前年度尚未完成、结转到本年仍按原规定用途继续使用的资金。</w:t>
      </w:r>
    </w:p>
    <w:p>
      <w:pPr>
        <w:snapToGrid w:val="0"/>
        <w:spacing w:line="300" w:lineRule="auto"/>
        <w:ind w:firstLine="600"/>
        <w:rPr>
          <w:rFonts w:ascii="仿宋_GB2312" w:eastAsia="仿宋_GB2312"/>
          <w:sz w:val="32"/>
          <w:szCs w:val="32"/>
        </w:rPr>
      </w:pPr>
      <w:r>
        <w:rPr>
          <w:rFonts w:hint="eastAsia" w:ascii="黑体" w:hAnsi="黑体" w:eastAsia="黑体"/>
          <w:sz w:val="32"/>
          <w:szCs w:val="32"/>
        </w:rPr>
        <w:t>八、基本支出：</w:t>
      </w:r>
      <w:r>
        <w:rPr>
          <w:rFonts w:hint="eastAsia" w:ascii="仿宋" w:hAnsi="仿宋" w:eastAsia="仿宋"/>
          <w:sz w:val="32"/>
          <w:szCs w:val="32"/>
        </w:rPr>
        <w:t>指为保障其机构正常运转、完成日常工作任务而发生的人员支出和日常公用支出。</w:t>
      </w:r>
    </w:p>
    <w:p>
      <w:pPr>
        <w:snapToGrid w:val="0"/>
        <w:spacing w:line="300" w:lineRule="auto"/>
        <w:ind w:firstLine="600"/>
        <w:rPr>
          <w:rFonts w:ascii="仿宋_GB2312" w:eastAsia="仿宋_GB2312"/>
          <w:sz w:val="32"/>
          <w:szCs w:val="32"/>
        </w:rPr>
      </w:pPr>
      <w:r>
        <w:rPr>
          <w:rFonts w:hint="eastAsia" w:ascii="黑体" w:hAnsi="黑体" w:eastAsia="黑体"/>
          <w:sz w:val="32"/>
          <w:szCs w:val="32"/>
        </w:rPr>
        <w:t>九、项目支出：</w:t>
      </w:r>
      <w:r>
        <w:rPr>
          <w:rFonts w:hint="eastAsia" w:ascii="仿宋" w:hAnsi="仿宋" w:eastAsia="仿宋"/>
          <w:sz w:val="32"/>
          <w:szCs w:val="32"/>
        </w:rPr>
        <w:t>指在基本支出之外为完成特定的工作任务或事业发展目标所发生的支出。</w:t>
      </w:r>
    </w:p>
    <w:p>
      <w:pPr>
        <w:adjustRightInd w:val="0"/>
        <w:snapToGrid w:val="0"/>
        <w:spacing w:line="300" w:lineRule="auto"/>
        <w:ind w:firstLine="640" w:firstLineChars="200"/>
        <w:rPr>
          <w:rFonts w:ascii="仿宋_GB2312" w:eastAsia="仿宋_GB2312"/>
          <w:sz w:val="32"/>
          <w:szCs w:val="32"/>
        </w:rPr>
      </w:pPr>
      <w:r>
        <w:rPr>
          <w:rFonts w:hint="eastAsia" w:ascii="黑体" w:hAnsi="黑体" w:eastAsia="黑体"/>
          <w:sz w:val="32"/>
          <w:szCs w:val="32"/>
        </w:rPr>
        <w:t>十、经营支出：</w:t>
      </w:r>
      <w:r>
        <w:rPr>
          <w:rFonts w:hint="eastAsia" w:ascii="仿宋" w:hAnsi="仿宋" w:eastAsia="仿宋"/>
          <w:sz w:val="32"/>
          <w:szCs w:val="32"/>
        </w:rPr>
        <w:t>指事业单位在专业业务活动及其辅助活动之外开展非独立核算经营活动发生的支出。</w:t>
      </w:r>
    </w:p>
    <w:p>
      <w:pPr>
        <w:snapToGrid w:val="0"/>
        <w:spacing w:line="300" w:lineRule="auto"/>
        <w:ind w:firstLine="600"/>
        <w:rPr>
          <w:rFonts w:ascii="仿宋" w:hAnsi="仿宋" w:eastAsia="仿宋"/>
          <w:sz w:val="32"/>
          <w:szCs w:val="32"/>
        </w:rPr>
      </w:pPr>
      <w:r>
        <w:rPr>
          <w:rFonts w:hint="eastAsia" w:ascii="黑体" w:hAnsi="黑体" w:eastAsia="黑体"/>
          <w:sz w:val="32"/>
          <w:szCs w:val="32"/>
        </w:rPr>
        <w:t>十一、对附属单位补助支出</w:t>
      </w:r>
      <w:r>
        <w:rPr>
          <w:rFonts w:hint="eastAsia" w:ascii="仿宋_GB2312" w:hAnsi="黑体" w:eastAsia="仿宋_GB2312"/>
          <w:sz w:val="32"/>
          <w:szCs w:val="32"/>
        </w:rPr>
        <w:t>：</w:t>
      </w:r>
      <w:r>
        <w:rPr>
          <w:rFonts w:hint="eastAsia" w:ascii="仿宋" w:hAnsi="仿宋" w:eastAsia="仿宋"/>
          <w:sz w:val="32"/>
          <w:szCs w:val="32"/>
        </w:rPr>
        <w:t>指事业单位用财政补助收入之外的收入对附属单位补助发生的支出。</w:t>
      </w:r>
    </w:p>
    <w:p>
      <w:pPr>
        <w:snapToGrid w:val="0"/>
        <w:spacing w:line="300" w:lineRule="auto"/>
        <w:ind w:firstLine="600"/>
        <w:rPr>
          <w:rFonts w:ascii="仿宋_GB2312" w:hAnsi="黑体" w:eastAsia="仿宋_GB2312"/>
          <w:sz w:val="32"/>
          <w:szCs w:val="32"/>
        </w:rPr>
      </w:pPr>
      <w:r>
        <w:rPr>
          <w:rFonts w:hint="eastAsia" w:ascii="黑体" w:hAnsi="黑体" w:eastAsia="黑体"/>
          <w:sz w:val="32"/>
          <w:szCs w:val="32"/>
        </w:rPr>
        <w:t>十二、其他支出：</w:t>
      </w:r>
      <w:r>
        <w:rPr>
          <w:rFonts w:hint="eastAsia" w:ascii="仿宋" w:hAnsi="仿宋" w:eastAsia="仿宋"/>
          <w:sz w:val="32"/>
          <w:szCs w:val="32"/>
        </w:rPr>
        <w:t>指除“基本支出”、“项目支出”、“经营支出”、“对附属单位补助支出”等以外的各项支出，包括利息支出、捐赠支出等。</w:t>
      </w:r>
    </w:p>
    <w:p>
      <w:pPr>
        <w:snapToGrid w:val="0"/>
        <w:spacing w:line="300" w:lineRule="auto"/>
        <w:ind w:firstLine="600"/>
        <w:rPr>
          <w:rFonts w:ascii="仿宋_GB2312" w:eastAsia="仿宋_GB2312"/>
          <w:sz w:val="32"/>
          <w:szCs w:val="32"/>
        </w:rPr>
      </w:pPr>
      <w:r>
        <w:rPr>
          <w:rFonts w:hint="eastAsia" w:ascii="黑体" w:hAnsi="黑体" w:eastAsia="黑体"/>
          <w:sz w:val="32"/>
          <w:szCs w:val="32"/>
        </w:rPr>
        <w:t>十三、“三公”经费：</w:t>
      </w:r>
      <w:r>
        <w:rPr>
          <w:rFonts w:hint="eastAsia" w:ascii="仿宋" w:hAnsi="仿宋" w:eastAsia="仿宋"/>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snapToGrid w:val="0"/>
        <w:spacing w:line="300" w:lineRule="auto"/>
        <w:ind w:firstLine="640" w:firstLineChars="200"/>
        <w:rPr>
          <w:rFonts w:ascii="仿宋_GB2312" w:eastAsia="仿宋_GB2312"/>
          <w:sz w:val="32"/>
          <w:szCs w:val="32"/>
        </w:rPr>
      </w:pPr>
      <w:r>
        <w:rPr>
          <w:rFonts w:hint="eastAsia" w:ascii="黑体" w:hAnsi="黑体" w:eastAsia="黑体"/>
          <w:sz w:val="32"/>
          <w:szCs w:val="32"/>
        </w:rPr>
        <w:t>十四、机关运行经费：</w:t>
      </w:r>
      <w:r>
        <w:rPr>
          <w:rFonts w:hint="eastAsia" w:ascii="仿宋" w:hAnsi="仿宋" w:eastAsia="仿宋"/>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pPr>
        <w:spacing w:line="580" w:lineRule="exact"/>
        <w:ind w:firstLine="600"/>
        <w:rPr>
          <w:rFonts w:ascii="仿宋" w:hAnsi="仿宋" w:eastAsia="仿宋"/>
          <w:sz w:val="32"/>
          <w:szCs w:val="32"/>
        </w:rPr>
      </w:pPr>
      <w:r>
        <w:rPr>
          <w:rFonts w:hint="eastAsia" w:ascii="黑体" w:hAnsi="黑体" w:eastAsia="黑体"/>
          <w:sz w:val="32"/>
          <w:szCs w:val="32"/>
        </w:rPr>
        <w:t>十五、公共安全支出（类）法院（款）行政运行（项）：</w:t>
      </w:r>
      <w:r>
        <w:rPr>
          <w:rFonts w:hint="eastAsia" w:ascii="仿宋" w:hAnsi="仿宋" w:eastAsia="仿宋"/>
          <w:sz w:val="32"/>
          <w:szCs w:val="32"/>
        </w:rPr>
        <w:t>指法院（包括各专门法院，包括实行公务员管理的事业单位）的基本支出。</w:t>
      </w:r>
    </w:p>
    <w:p>
      <w:pPr>
        <w:spacing w:line="580" w:lineRule="exact"/>
        <w:ind w:firstLine="600"/>
        <w:rPr>
          <w:rFonts w:ascii="仿宋" w:hAnsi="仿宋" w:eastAsia="仿宋"/>
          <w:sz w:val="32"/>
          <w:szCs w:val="32"/>
        </w:rPr>
      </w:pPr>
      <w:r>
        <w:rPr>
          <w:rFonts w:hint="eastAsia" w:ascii="黑体" w:hAnsi="黑体" w:eastAsia="黑体"/>
          <w:sz w:val="32"/>
          <w:szCs w:val="32"/>
        </w:rPr>
        <w:t>十六、公共安全支出（类）法院（款）机关服务（项）：</w:t>
      </w:r>
      <w:r>
        <w:rPr>
          <w:rFonts w:hint="eastAsia" w:ascii="仿宋" w:hAnsi="仿宋" w:eastAsia="仿宋"/>
          <w:sz w:val="32"/>
          <w:szCs w:val="32"/>
        </w:rPr>
        <w:t>指法院（包括各专门法院，包括实行公务员管理的事业单位）提供后勤服务的各类后勤服务中心、医务室等附属事业单位的支出。</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十七、公共安全支出（类）法院（款）案件审判（项）：</w:t>
      </w:r>
      <w:r>
        <w:rPr>
          <w:rFonts w:hint="eastAsia" w:ascii="仿宋" w:hAnsi="仿宋" w:eastAsia="仿宋"/>
          <w:sz w:val="32"/>
          <w:szCs w:val="32"/>
        </w:rPr>
        <w:t>反映人民法院对刑事、民事、行政、涉外等案件审判活动的支出。</w:t>
      </w:r>
    </w:p>
    <w:p>
      <w:pPr>
        <w:snapToGrid w:val="0"/>
        <w:spacing w:line="300" w:lineRule="auto"/>
        <w:ind w:firstLine="600"/>
        <w:rPr>
          <w:rFonts w:ascii="仿宋_GB2312" w:eastAsia="仿宋_GB2312"/>
          <w:b/>
          <w:sz w:val="32"/>
          <w:szCs w:val="32"/>
        </w:rPr>
      </w:pPr>
      <w:r>
        <w:rPr>
          <w:rFonts w:hint="eastAsia" w:ascii="黑体" w:hAnsi="黑体" w:eastAsia="黑体"/>
          <w:sz w:val="32"/>
          <w:szCs w:val="32"/>
        </w:rPr>
        <w:t>十八、公共安全支出（类）法院（款）案件执行（项）：</w:t>
      </w:r>
      <w:r>
        <w:rPr>
          <w:rFonts w:hint="eastAsia" w:ascii="仿宋" w:hAnsi="仿宋" w:eastAsia="仿宋"/>
          <w:sz w:val="32"/>
          <w:szCs w:val="32"/>
        </w:rPr>
        <w:t>反映人民法院对刑事、民事、行政、涉外等案件执行活动和对各种非诉执行活动的支出。</w:t>
      </w:r>
    </w:p>
    <w:p>
      <w:pPr>
        <w:adjustRightInd w:val="0"/>
        <w:snapToGrid w:val="0"/>
        <w:spacing w:line="300" w:lineRule="auto"/>
        <w:ind w:firstLine="640" w:firstLineChars="200"/>
        <w:rPr>
          <w:rFonts w:ascii="仿宋" w:hAnsi="仿宋" w:eastAsia="仿宋"/>
          <w:sz w:val="32"/>
          <w:szCs w:val="32"/>
        </w:rPr>
      </w:pPr>
      <w:r>
        <w:rPr>
          <w:rFonts w:ascii="黑体" w:hAnsi="黑体" w:eastAsia="黑体"/>
          <w:sz w:val="32"/>
          <w:szCs w:val="32"/>
        </w:rPr>
        <w:t>十九</w:t>
      </w:r>
      <w:r>
        <w:rPr>
          <w:rFonts w:hint="eastAsia" w:ascii="黑体" w:hAnsi="黑体" w:eastAsia="黑体"/>
          <w:sz w:val="32"/>
          <w:szCs w:val="32"/>
        </w:rPr>
        <w:t>、公共安全支出（类）法院（款）事业运行（项）：</w:t>
      </w:r>
      <w:r>
        <w:rPr>
          <w:rFonts w:hint="eastAsia" w:ascii="仿宋" w:hAnsi="仿宋" w:eastAsia="仿宋"/>
          <w:sz w:val="32"/>
          <w:szCs w:val="32"/>
        </w:rPr>
        <w:t>反应事业单位的基本支出，不包括行政单位（包括实行公务员管理的事业单位）后勤服务中心、医务室等附属事业单位。</w:t>
      </w:r>
    </w:p>
    <w:p>
      <w:pPr>
        <w:snapToGrid w:val="0"/>
        <w:spacing w:line="300" w:lineRule="auto"/>
        <w:ind w:firstLine="600"/>
        <w:rPr>
          <w:rFonts w:ascii="仿宋_GB2312" w:eastAsia="仿宋_GB2312"/>
          <w:sz w:val="32"/>
          <w:szCs w:val="32"/>
        </w:rPr>
      </w:pPr>
      <w:r>
        <w:rPr>
          <w:rFonts w:ascii="黑体" w:hAnsi="黑体" w:eastAsia="黑体"/>
          <w:sz w:val="32"/>
          <w:szCs w:val="32"/>
        </w:rPr>
        <w:t>二十</w:t>
      </w:r>
      <w:r>
        <w:rPr>
          <w:rFonts w:hint="eastAsia" w:ascii="黑体" w:hAnsi="黑体" w:eastAsia="黑体"/>
          <w:sz w:val="32"/>
          <w:szCs w:val="32"/>
        </w:rPr>
        <w:t>、公共安全支出（类）法院（款）其他法院支出（项）：</w:t>
      </w:r>
      <w:r>
        <w:rPr>
          <w:rFonts w:hint="eastAsia" w:ascii="仿宋" w:hAnsi="仿宋" w:eastAsia="仿宋"/>
          <w:sz w:val="32"/>
          <w:szCs w:val="32"/>
        </w:rPr>
        <w:t>反映除上述项目以外其他用于法院方面的支出。</w:t>
      </w:r>
    </w:p>
    <w:p>
      <w:pPr>
        <w:snapToGrid w:val="0"/>
        <w:spacing w:line="300" w:lineRule="auto"/>
        <w:ind w:firstLine="640" w:firstLineChars="200"/>
        <w:rPr>
          <w:rFonts w:ascii="仿宋_GB2312" w:eastAsia="仿宋_GB2312"/>
          <w:sz w:val="32"/>
          <w:szCs w:val="32"/>
        </w:rPr>
      </w:pPr>
    </w:p>
    <w:p>
      <w:pPr>
        <w:snapToGrid w:val="0"/>
        <w:spacing w:line="300" w:lineRule="auto"/>
        <w:ind w:firstLine="600"/>
        <w:rPr>
          <w:rFonts w:ascii="仿宋_GB2312" w:eastAsia="仿宋_GB2312"/>
          <w:sz w:val="32"/>
          <w:szCs w:val="32"/>
        </w:rPr>
      </w:pPr>
    </w:p>
    <w:sectPr>
      <w:pgSz w:w="11907" w:h="16840"/>
      <w:pgMar w:top="1191" w:right="992"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23</w: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2RhN2E4ODgyYWRlMjk2ZWVjY2NmMTIzZWZlMDE5MTkifQ=="/>
  </w:docVars>
  <w:rsids>
    <w:rsidRoot w:val="000D493E"/>
    <w:rsid w:val="00073F82"/>
    <w:rsid w:val="000D493E"/>
    <w:rsid w:val="00166833"/>
    <w:rsid w:val="002155C1"/>
    <w:rsid w:val="0024330A"/>
    <w:rsid w:val="00274A60"/>
    <w:rsid w:val="002774CB"/>
    <w:rsid w:val="00292BBC"/>
    <w:rsid w:val="002C6FD3"/>
    <w:rsid w:val="003B444F"/>
    <w:rsid w:val="003D223A"/>
    <w:rsid w:val="003D5317"/>
    <w:rsid w:val="00412D04"/>
    <w:rsid w:val="00446732"/>
    <w:rsid w:val="0056107B"/>
    <w:rsid w:val="005B1A08"/>
    <w:rsid w:val="006C06DD"/>
    <w:rsid w:val="006C185F"/>
    <w:rsid w:val="00734F61"/>
    <w:rsid w:val="007375E7"/>
    <w:rsid w:val="0091710B"/>
    <w:rsid w:val="009C77EF"/>
    <w:rsid w:val="00B90805"/>
    <w:rsid w:val="00C50D08"/>
    <w:rsid w:val="00C5435B"/>
    <w:rsid w:val="00CB78C0"/>
    <w:rsid w:val="00DC5DCF"/>
    <w:rsid w:val="00E3271E"/>
    <w:rsid w:val="0973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Char Char"/>
    <w:basedOn w:val="1"/>
    <w:qFormat/>
    <w:uiPriority w:val="0"/>
    <w:pPr>
      <w:widowControl/>
      <w:spacing w:after="160" w:line="240" w:lineRule="exact"/>
      <w:jc w:val="left"/>
    </w:pPr>
    <w:rPr>
      <w:rFonts w:ascii="Verdana" w:hAnsi="Verdana" w:eastAsia="仿宋_GB2312"/>
      <w:kern w:val="0"/>
      <w:sz w:val="20"/>
      <w:szCs w:val="20"/>
    </w:rPr>
  </w:style>
  <w:style w:type="paragraph" w:styleId="1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3789</Words>
  <Characters>4140</Characters>
  <Lines>30</Lines>
  <Paragraphs>8</Paragraphs>
  <TotalTime>1011</TotalTime>
  <ScaleCrop>false</ScaleCrop>
  <LinksUpToDate>false</LinksUpToDate>
  <CharactersWithSpaces>4157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2022-03-30T13:43:00Z</dcterms:created>
  <dc:creator>hp</dc:creator>
  <cp:lastModifiedBy>Lenovo</cp:lastModifiedBy>
  <cp:lastPrinted>2017-05-04T07:07:00Z</cp:lastPrinted>
  <dcterms:modified xsi:type="dcterms:W3CDTF">2024-01-31T02:12:33Z</dcterms:modified>
  <dc:title>关于做好2017年市级部门</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E511C477F26947E3A754EB32F13AFC14</vt:lpwstr>
  </property>
</Properties>
</file>