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spacing w:line="440" w:lineRule="exact"/>
        <w:jc w:val="both"/>
        <w:rPr>
          <w:rFonts w:ascii="宋体" w:hAnsi="宋体" w:eastAsia="宋体" w:cs="宋体"/>
        </w:rPr>
      </w:pPr>
    </w:p>
    <w:p>
      <w:pPr>
        <w:pStyle w:val="21"/>
        <w:spacing w:line="440" w:lineRule="exact"/>
        <w:rPr>
          <w:rFonts w:ascii="宋体" w:hAnsi="宋体" w:eastAsia="宋体" w:cs="宋体"/>
        </w:rPr>
      </w:pPr>
    </w:p>
    <w:p>
      <w:pPr>
        <w:pStyle w:val="21"/>
        <w:spacing w:line="440" w:lineRule="exact"/>
        <w:rPr>
          <w:rFonts w:ascii="宋体" w:hAnsi="宋体" w:eastAsia="宋体" w:cs="宋体"/>
        </w:rPr>
      </w:pPr>
    </w:p>
    <w:p>
      <w:pPr>
        <w:pStyle w:val="21"/>
        <w:spacing w:line="440" w:lineRule="exact"/>
        <w:rPr>
          <w:rFonts w:ascii="宋体" w:hAnsi="宋体" w:eastAsia="宋体" w:cs="宋体"/>
        </w:rPr>
      </w:pPr>
    </w:p>
    <w:p>
      <w:pPr>
        <w:pStyle w:val="21"/>
        <w:spacing w:line="440" w:lineRule="exact"/>
        <w:rPr>
          <w:rFonts w:ascii="宋体" w:hAnsi="宋体" w:eastAsia="宋体" w:cs="宋体"/>
        </w:rPr>
      </w:pPr>
    </w:p>
    <w:p>
      <w:pPr>
        <w:pStyle w:val="21"/>
        <w:spacing w:line="440" w:lineRule="exact"/>
        <w:rPr>
          <w:rFonts w:ascii="宋体" w:hAnsi="宋体" w:eastAsia="宋体" w:cs="宋体"/>
        </w:rPr>
      </w:pPr>
    </w:p>
    <w:p>
      <w:pPr>
        <w:pStyle w:val="21"/>
        <w:spacing w:line="440" w:lineRule="exact"/>
        <w:rPr>
          <w:rFonts w:ascii="宋体" w:hAnsi="宋体" w:eastAsia="宋体" w:cs="宋体"/>
        </w:rPr>
      </w:pPr>
    </w:p>
    <w:p>
      <w:pPr>
        <w:spacing w:line="440" w:lineRule="exact"/>
        <w:ind w:left="880" w:hanging="880"/>
        <w:jc w:val="center"/>
        <w:rPr>
          <w:rFonts w:hint="eastAsia"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2022年度基层法院统筹诉讼费专项资金</w:t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绩效评价报告</w:t>
      </w:r>
    </w:p>
    <w:p>
      <w:pPr>
        <w:spacing w:line="440" w:lineRule="exact"/>
        <w:ind w:left="1040" w:hanging="1040"/>
        <w:jc w:val="right"/>
        <w:rPr>
          <w:rFonts w:ascii="文星简黑体" w:eastAsia="文星简黑体"/>
          <w:sz w:val="52"/>
          <w:szCs w:val="52"/>
        </w:rPr>
      </w:pPr>
    </w:p>
    <w:p>
      <w:pPr>
        <w:spacing w:line="44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>
      <w:pPr>
        <w:spacing w:line="44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>
      <w:pPr>
        <w:pStyle w:val="2"/>
        <w:rPr>
          <w:rFonts w:ascii="文星简黑体" w:eastAsia="文星简黑体"/>
          <w:sz w:val="52"/>
          <w:szCs w:val="52"/>
        </w:rPr>
      </w:pPr>
    </w:p>
    <w:p>
      <w:pPr>
        <w:rPr>
          <w:rFonts w:ascii="文星简黑体" w:eastAsia="文星简黑体"/>
          <w:sz w:val="52"/>
          <w:szCs w:val="52"/>
        </w:rPr>
      </w:pPr>
    </w:p>
    <w:p>
      <w:pPr>
        <w:pStyle w:val="2"/>
        <w:rPr>
          <w:rFonts w:ascii="文星简黑体" w:eastAsia="文星简黑体"/>
          <w:sz w:val="52"/>
          <w:szCs w:val="52"/>
        </w:rPr>
      </w:pPr>
    </w:p>
    <w:p>
      <w:pPr>
        <w:rPr>
          <w:rFonts w:ascii="文星简黑体" w:eastAsia="文星简黑体"/>
          <w:sz w:val="52"/>
          <w:szCs w:val="52"/>
        </w:rPr>
      </w:pPr>
    </w:p>
    <w:p>
      <w:pPr>
        <w:pStyle w:val="2"/>
      </w:pPr>
      <w:bookmarkStart w:id="53" w:name="_GoBack"/>
      <w:bookmarkEnd w:id="53"/>
    </w:p>
    <w:p>
      <w:pPr>
        <w:spacing w:line="440" w:lineRule="exact"/>
        <w:ind w:left="640" w:hanging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文星简黑体"/>
          <w:kern w:val="0"/>
          <w:sz w:val="32"/>
          <w:szCs w:val="32"/>
        </w:rPr>
        <w:t>评价单位：城阳区人民法院</w:t>
      </w:r>
    </w:p>
    <w:p>
      <w:pPr>
        <w:spacing w:line="440" w:lineRule="exact"/>
        <w:ind w:left="2240" w:hanging="2240" w:hangingChars="7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文星简黑体"/>
          <w:sz w:val="32"/>
          <w:szCs w:val="32"/>
        </w:rPr>
        <w:t>被评价单位：</w:t>
      </w:r>
      <w:r>
        <w:rPr>
          <w:rFonts w:hint="eastAsia" w:ascii="黑体" w:hAnsi="黑体" w:eastAsia="黑体" w:cs="文星简黑体"/>
          <w:kern w:val="0"/>
          <w:sz w:val="32"/>
          <w:szCs w:val="32"/>
        </w:rPr>
        <w:t>城阳区人民法院</w:t>
      </w:r>
    </w:p>
    <w:p>
      <w:pPr>
        <w:spacing w:line="440" w:lineRule="exact"/>
        <w:ind w:left="640" w:hanging="640"/>
        <w:jc w:val="lef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ind w:left="640" w:hanging="64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  <w:r>
        <w:rPr>
          <w:rFonts w:hint="eastAsia" w:ascii="黑体" w:hAnsi="黑体" w:eastAsia="黑体" w:cs="文星简黑体"/>
          <w:sz w:val="32"/>
          <w:szCs w:val="32"/>
        </w:rPr>
        <w:t>2023年5月</w:t>
      </w:r>
    </w:p>
    <w:p>
      <w:pPr>
        <w:widowControl/>
        <w:jc w:val="left"/>
        <w:rPr>
          <w:rFonts w:ascii="黑体" w:hAnsi="黑体" w:eastAsia="黑体" w:cs="文星简黑体"/>
          <w:sz w:val="32"/>
          <w:szCs w:val="32"/>
        </w:rPr>
      </w:pPr>
      <w:r>
        <w:rPr>
          <w:rFonts w:ascii="黑体" w:hAnsi="黑体" w:eastAsia="黑体" w:cs="文星简黑体"/>
          <w:sz w:val="32"/>
          <w:szCs w:val="32"/>
        </w:rPr>
        <w:br w:type="page"/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2022年区基层法院统筹诉讼费专项资金</w:t>
      </w:r>
    </w:p>
    <w:p>
      <w:pPr>
        <w:spacing w:line="4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ascii="方正小标宋_GBK" w:eastAsia="方正小标宋_GBK" w:cs="文星简黑体"/>
          <w:sz w:val="44"/>
          <w:szCs w:val="44"/>
        </w:rPr>
        <w:t>绩效</w:t>
      </w:r>
      <w:r>
        <w:rPr>
          <w:rFonts w:hint="eastAsia" w:ascii="方正小标宋_GBK" w:eastAsia="方正小标宋_GBK" w:cs="文星简黑体"/>
          <w:sz w:val="44"/>
          <w:szCs w:val="44"/>
        </w:rPr>
        <w:t>评价报告</w:t>
      </w:r>
    </w:p>
    <w:p>
      <w:pPr>
        <w:spacing w:line="440" w:lineRule="exact"/>
        <w:jc w:val="center"/>
        <w:rPr>
          <w:rFonts w:ascii="仿宋_GB2312"/>
          <w:szCs w:val="30"/>
        </w:rPr>
      </w:pP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spacing w:line="440" w:lineRule="exact"/>
        <w:ind w:firstLine="600" w:firstLineChars="200"/>
        <w:outlineLvl w:val="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（一）项目概况。</w:t>
      </w:r>
    </w:p>
    <w:p>
      <w:pPr>
        <w:spacing w:line="44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根据区财政《关于下达2022年基层法院诉讼费统筹专项资金的通知》（青城财行指〔2022〕3号），用于补充城阳区法院办案经费。</w:t>
      </w:r>
    </w:p>
    <w:p>
      <w:pPr>
        <w:spacing w:line="44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2022年，预算资金211万元，支出211万元，执行率100%。</w:t>
      </w:r>
    </w:p>
    <w:p>
      <w:pPr>
        <w:numPr>
          <w:ilvl w:val="0"/>
          <w:numId w:val="1"/>
        </w:numPr>
        <w:spacing w:line="440" w:lineRule="exact"/>
        <w:ind w:firstLine="60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项目绩效目标。</w:t>
      </w:r>
    </w:p>
    <w:p>
      <w:pPr>
        <w:numPr>
          <w:ilvl w:val="0"/>
          <w:numId w:val="0"/>
        </w:num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根据年度工作安排、工作职责、项目具体等设置了总体和阶段性目标，按照产出、效益、满意度3个一级指标，数量、质量、时效、成本、生态效益、服务对象满意度6个二级指标。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基本上完成了总体目标和阶段性目标。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（一）绩效评价目的、对象和范围</w:t>
      </w:r>
    </w:p>
    <w:p>
      <w:pPr>
        <w:pStyle w:val="23"/>
        <w:spacing w:line="440" w:lineRule="exact"/>
        <w:ind w:firstLine="663" w:firstLineChars="221"/>
        <w:rPr>
          <w:rFonts w:hint="eastAsia"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目的：根据青岛市城阳区政府项目绩效评价实施方案，对本部门整体支出进行绩效评价，评价绩效目标的设定、资金投入和使用、为实现绩效目标制定的制度及采取的措施、绩效目标的实现程度及效果等情况，并对项目实施中存在的问题进行归纳与分析，以期对后续项目的决策管理、财政资金的安排使用提出改进建议。</w:t>
      </w:r>
    </w:p>
    <w:p>
      <w:pPr>
        <w:pStyle w:val="23"/>
        <w:spacing w:line="440" w:lineRule="exact"/>
        <w:ind w:firstLine="663" w:firstLineChars="221"/>
        <w:rPr>
          <w:rFonts w:hint="eastAsia"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对象:财政专项资金项目。</w:t>
      </w:r>
    </w:p>
    <w:p>
      <w:pPr>
        <w:pStyle w:val="23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范围:2022年度。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（二）绩效评价原则、评价指标体系、评价方法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绩效评价遵循以下基本原则：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1、相关性原则。评价指标应当与绩效目标有直接的联系，能够正确反映目标的实现程度。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2、重要性原则。评价指标应当优先使用最具代表性、最能反映评价要求的核心指标。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3、可比性原则。对同类评价对象要设定共性的评价指标，以便于评价结果可以相互比较。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4、系统性原则。评价指标的设置应当将定量指标与定性指标相结合，系统反映财政支出所产生的社会效益、环境效益和社会公众或服务对象满意度等。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5、经济性原则。评价指标设计应当通俗易懂、简便易行，数据的获得应当。</w:t>
      </w:r>
    </w:p>
    <w:p>
      <w:pPr>
        <w:pStyle w:val="23"/>
        <w:adjustRightInd w:val="0"/>
        <w:snapToGrid w:val="0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绩效评价指标</w:t>
      </w:r>
    </w:p>
    <w:p>
      <w:pPr>
        <w:pStyle w:val="23"/>
        <w:adjustRightInd w:val="0"/>
        <w:snapToGrid w:val="0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绩效评价指标是指衡量绩效目标实现程度的考核工具，分为共性指标和个性指标。依据相关性、重要性、可比性、系统性、经济性原则，根据《预算法》、《财政部关于印发&lt;财政支出绩效评价管理暂行办法&gt;的通知（财预[2011]285号）和《山东省省级预算支出项目第三方绩效评价工作规程（试行）》的要求，结合项目特点，评价机构在与项目主管部门沟通基础上，细化该项目的综合评价指标体系，评价内容包括决策、过程、产出和效果四个方面，具体见附件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评价方法</w:t>
      </w:r>
      <w:bookmarkStart w:id="0" w:name="_Toc1581"/>
      <w:bookmarkStart w:id="1" w:name="_Toc12173"/>
      <w:bookmarkStart w:id="2" w:name="_Toc11326"/>
    </w:p>
    <w:bookmarkEnd w:id="0"/>
    <w:bookmarkEnd w:id="1"/>
    <w:bookmarkEnd w:id="2"/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bookmarkStart w:id="3" w:name="_Toc1424"/>
      <w:bookmarkStart w:id="4" w:name="_Toc28916"/>
      <w:bookmarkStart w:id="5" w:name="_Toc3245"/>
      <w:bookmarkStart w:id="6" w:name="_Toc1173"/>
      <w:r>
        <w:rPr>
          <w:rFonts w:hint="eastAsia" w:ascii="仿宋_GB2312" w:hAnsi="仿宋_GB2312" w:cs="仿宋_GB2312"/>
        </w:rPr>
        <w:t>本着科学、规范、独立、客观、公正的原则，采用比较法、因素分析法以及公众评判法等绩效评价方法，最终通过综合分析影响绩效目标实现、实施效果的内外因素，评价绩效目标的实现程度。重点关注收集、分析数据方法的有效性、可靠性，从决策、过程、产出和效果四个方面进行综合评分。</w:t>
      </w:r>
      <w:bookmarkEnd w:id="3"/>
      <w:bookmarkEnd w:id="4"/>
      <w:bookmarkEnd w:id="5"/>
      <w:bookmarkEnd w:id="6"/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（三）绩效评价工作过程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7" w:name="_Toc22760"/>
      <w:bookmarkStart w:id="8" w:name="_Toc5628"/>
      <w:bookmarkStart w:id="9" w:name="_Toc16128"/>
      <w:r>
        <w:rPr>
          <w:rFonts w:hint="eastAsia" w:ascii="仿宋_GB2312" w:hAnsi="仿宋_GB2312" w:cs="仿宋_GB2312"/>
        </w:rPr>
        <w:t>1、评价准备阶段</w:t>
      </w:r>
      <w:bookmarkEnd w:id="7"/>
      <w:bookmarkEnd w:id="8"/>
      <w:bookmarkEnd w:id="9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0" w:name="_Toc12119"/>
      <w:bookmarkStart w:id="11" w:name="_Toc28653"/>
      <w:bookmarkStart w:id="12" w:name="_Toc2792"/>
      <w:bookmarkStart w:id="13" w:name="_Toc27232"/>
      <w:r>
        <w:rPr>
          <w:rFonts w:hint="eastAsia" w:ascii="仿宋_GB2312" w:hAnsi="仿宋_GB2312" w:cs="仿宋_GB2312"/>
        </w:rPr>
        <w:t>（1）成立评价小组，明确工作要求，搜集前期资料。</w:t>
      </w:r>
      <w:bookmarkEnd w:id="10"/>
      <w:bookmarkEnd w:id="11"/>
      <w:bookmarkEnd w:id="12"/>
      <w:bookmarkEnd w:id="13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4" w:name="_Toc26491"/>
      <w:bookmarkStart w:id="15" w:name="_Toc30722"/>
      <w:bookmarkStart w:id="16" w:name="_Toc13673"/>
      <w:bookmarkStart w:id="17" w:name="_Toc22769"/>
      <w:r>
        <w:rPr>
          <w:rFonts w:hint="eastAsia" w:ascii="仿宋_GB2312" w:hAnsi="仿宋_GB2312" w:cs="仿宋_GB2312"/>
        </w:rPr>
        <w:t>（2）编制评价指标体系，制定评价方案，明确评价框架和要点。</w:t>
      </w:r>
      <w:bookmarkEnd w:id="14"/>
      <w:bookmarkEnd w:id="15"/>
      <w:bookmarkEnd w:id="16"/>
      <w:bookmarkEnd w:id="17"/>
      <w:bookmarkStart w:id="18" w:name="_Toc7068"/>
      <w:bookmarkStart w:id="19" w:name="_Toc1539"/>
      <w:bookmarkStart w:id="20" w:name="_Toc5870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2、评价实施阶段</w:t>
      </w:r>
      <w:bookmarkEnd w:id="18"/>
      <w:bookmarkEnd w:id="19"/>
      <w:bookmarkEnd w:id="20"/>
      <w:bookmarkStart w:id="21" w:name="_Toc32269"/>
      <w:bookmarkStart w:id="22" w:name="_Toc18296"/>
      <w:bookmarkStart w:id="23" w:name="_Toc6607"/>
      <w:bookmarkStart w:id="24" w:name="_Toc19409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（1）收集、整理及审核项目资料。</w:t>
      </w:r>
      <w:bookmarkEnd w:id="21"/>
      <w:bookmarkEnd w:id="22"/>
      <w:bookmarkEnd w:id="23"/>
      <w:bookmarkEnd w:id="24"/>
      <w:bookmarkStart w:id="25" w:name="_Toc9335"/>
      <w:bookmarkStart w:id="26" w:name="_Toc16048"/>
      <w:bookmarkStart w:id="27" w:name="_Toc28577"/>
      <w:bookmarkStart w:id="28" w:name="_Toc22594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（2）完善绩效评价指标体系。</w:t>
      </w:r>
      <w:bookmarkEnd w:id="25"/>
      <w:bookmarkEnd w:id="26"/>
      <w:bookmarkEnd w:id="27"/>
      <w:bookmarkEnd w:id="28"/>
      <w:bookmarkStart w:id="29" w:name="_Toc7169"/>
      <w:bookmarkStart w:id="30" w:name="_Toc22582"/>
      <w:bookmarkStart w:id="31" w:name="_Toc26518"/>
      <w:bookmarkStart w:id="32" w:name="_Toc22776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（3）现场评价。</w:t>
      </w:r>
      <w:bookmarkEnd w:id="29"/>
      <w:bookmarkEnd w:id="30"/>
      <w:bookmarkEnd w:id="31"/>
      <w:bookmarkEnd w:id="32"/>
      <w:bookmarkStart w:id="33" w:name="_Toc11525"/>
      <w:bookmarkStart w:id="34" w:name="_Toc18266"/>
      <w:bookmarkStart w:id="35" w:name="_Toc5344"/>
      <w:bookmarkStart w:id="36" w:name="_Toc24084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（4）问卷调查。</w:t>
      </w:r>
      <w:bookmarkEnd w:id="33"/>
      <w:bookmarkEnd w:id="34"/>
      <w:bookmarkEnd w:id="35"/>
      <w:bookmarkEnd w:id="36"/>
      <w:bookmarkStart w:id="37" w:name="_Toc20598"/>
      <w:bookmarkStart w:id="38" w:name="_Toc22978"/>
      <w:bookmarkStart w:id="39" w:name="_Toc21046"/>
      <w:bookmarkStart w:id="40" w:name="_Toc8189"/>
    </w:p>
    <w:bookmarkEnd w:id="37"/>
    <w:bookmarkEnd w:id="38"/>
    <w:bookmarkEnd w:id="39"/>
    <w:bookmarkEnd w:id="40"/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41" w:name="_Toc26990"/>
      <w:bookmarkStart w:id="42" w:name="_Toc32248"/>
      <w:bookmarkStart w:id="43" w:name="_Toc25772"/>
      <w:r>
        <w:rPr>
          <w:rFonts w:hint="eastAsia" w:ascii="仿宋_GB2312" w:hAnsi="仿宋_GB2312" w:cs="仿宋_GB2312"/>
        </w:rPr>
        <w:t>3、评价结果形成阶段</w:t>
      </w:r>
      <w:bookmarkEnd w:id="41"/>
      <w:bookmarkEnd w:id="42"/>
      <w:bookmarkEnd w:id="43"/>
      <w:bookmarkStart w:id="44" w:name="_Toc15627"/>
      <w:bookmarkStart w:id="45" w:name="_Toc6561"/>
      <w:bookmarkStart w:id="46" w:name="_Toc30111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（1）撰写完成绩效评价报告初稿。</w:t>
      </w:r>
      <w:bookmarkEnd w:id="44"/>
      <w:bookmarkEnd w:id="45"/>
      <w:bookmarkEnd w:id="46"/>
      <w:bookmarkStart w:id="47" w:name="_Toc789"/>
      <w:bookmarkStart w:id="48" w:name="_Toc15895"/>
      <w:bookmarkStart w:id="49" w:name="_Toc3005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（2）向主管单位反馈评价意见和问题。</w:t>
      </w:r>
      <w:bookmarkEnd w:id="47"/>
      <w:bookmarkEnd w:id="48"/>
      <w:bookmarkEnd w:id="49"/>
      <w:bookmarkStart w:id="50" w:name="_Toc15412"/>
      <w:bookmarkStart w:id="51" w:name="_Toc29477"/>
      <w:bookmarkStart w:id="52" w:name="_Toc168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（3）报送绩效评价报告终稿、相关项目资料和工作底稿。</w:t>
      </w:r>
      <w:bookmarkEnd w:id="50"/>
      <w:bookmarkEnd w:id="51"/>
      <w:bookmarkEnd w:id="52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楷体_GB2312" w:eastAsia="楷体_GB2312"/>
        </w:rPr>
        <w:t>（一）资金总体评价结论：</w:t>
      </w:r>
      <w:r>
        <w:rPr>
          <w:rFonts w:hint="eastAsia" w:ascii="仿宋_GB2312" w:hAnsi="仿宋_GB2312" w:cs="仿宋_GB2312"/>
        </w:rPr>
        <w:t>根据2022年度绩效评价指标体系，绩效评价工作组从决策、过程、产出、效果四个方面进行了评价打分和分析。该部门整体绩效评价得分为100分，等级为“优”。绩效得分整体情况如下表：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049"/>
        <w:gridCol w:w="205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tblHeader/>
          <w:jc w:val="center"/>
        </w:trPr>
        <w:tc>
          <w:tcPr>
            <w:tcW w:w="2049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评价指标</w:t>
            </w:r>
          </w:p>
        </w:tc>
        <w:tc>
          <w:tcPr>
            <w:tcW w:w="2049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赋分</w:t>
            </w:r>
          </w:p>
        </w:tc>
        <w:tc>
          <w:tcPr>
            <w:tcW w:w="2050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050" w:type="dxa"/>
            <w:shd w:val="clear" w:color="auto" w:fill="auto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得分率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决策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过程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产出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2050" w:type="dxa"/>
            <w:vAlign w:val="top"/>
          </w:tcPr>
          <w:p>
            <w:pPr>
              <w:spacing w:line="440" w:lineRule="exact"/>
              <w:ind w:firstLine="8" w:firstLineChars="4"/>
              <w:jc w:val="center"/>
              <w:rPr>
                <w:rFonts w:hint="default" w:ascii="仿宋_GB2312" w:hAnsi="Cambr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效果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hint="default" w:ascii="仿宋_GB2312" w:hAnsi="Cambria" w:eastAsia="仿宋_GB2312" w:cs="宋体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28.2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94</w:t>
            </w: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整体绩效</w:t>
            </w:r>
          </w:p>
        </w:tc>
        <w:tc>
          <w:tcPr>
            <w:tcW w:w="2049" w:type="dxa"/>
            <w:vAlign w:val="top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98.20</w:t>
            </w:r>
          </w:p>
        </w:tc>
        <w:tc>
          <w:tcPr>
            <w:tcW w:w="2050" w:type="dxa"/>
            <w:vAlign w:val="top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98.20</w:t>
            </w: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%</w:t>
            </w:r>
          </w:p>
        </w:tc>
      </w:tr>
    </w:tbl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（二）项目预算执行情况：</w:t>
      </w:r>
    </w:p>
    <w:p>
      <w:pPr>
        <w:spacing w:line="440" w:lineRule="exact"/>
        <w:ind w:firstLine="600" w:firstLineChars="200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2022年初预算数0万元，调整后预算数211万元，执行数211万元，执行率100%。具体如下表：</w:t>
      </w:r>
    </w:p>
    <w:tbl>
      <w:tblPr>
        <w:tblStyle w:val="12"/>
        <w:tblW w:w="103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43"/>
        <w:gridCol w:w="993"/>
        <w:gridCol w:w="850"/>
        <w:gridCol w:w="709"/>
        <w:gridCol w:w="1851"/>
        <w:gridCol w:w="851"/>
        <w:gridCol w:w="850"/>
        <w:gridCol w:w="992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3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调整后预算数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预算执行数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4"/>
              </w:rPr>
              <w:t>执行率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区本级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上级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区本级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上级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rPr>
                <w:rFonts w:ascii="仿宋_GB2312" w:hAnsi="宋体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Arial"/>
                <w:kern w:val="0"/>
                <w:sz w:val="18"/>
                <w:szCs w:val="18"/>
              </w:rPr>
              <w:t>基层法院统筹诉讼费专项资金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100%</w:t>
            </w:r>
          </w:p>
        </w:tc>
      </w:tr>
    </w:tbl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（一）项目决策情况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1、项目立项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包括政策设立依据的充分性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立项程序规范性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（1）立项依据充分性（1分）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项目立项符合法律法规、相关政策、发展规划以及部门职责，</w:t>
      </w:r>
      <w:r>
        <w:rPr>
          <w:rFonts w:hint="eastAsia" w:ascii="仿宋_GB2312" w:hAnsi="仿宋_GB2312" w:cs="仿宋_GB2312"/>
          <w:lang w:val="en-US" w:eastAsia="zh-CN"/>
        </w:rPr>
        <w:t>项目属于</w:t>
      </w:r>
      <w:r>
        <w:rPr>
          <w:rFonts w:hint="default" w:ascii="仿宋_GB2312" w:hAnsi="仿宋_GB2312" w:cs="仿宋_GB2312"/>
          <w:lang w:val="en-US" w:eastAsia="zh-CN"/>
        </w:rPr>
        <w:t>公共财政支持范围</w:t>
      </w:r>
      <w:r>
        <w:rPr>
          <w:rFonts w:hint="eastAsia" w:ascii="仿宋_GB2312" w:hAnsi="仿宋_GB2312" w:cs="仿宋_GB2312"/>
          <w:lang w:val="en-US" w:eastAsia="zh-CN"/>
        </w:rPr>
        <w:t>，与部门同类项目或部门内部相关项目不重复。立项依据充分合理。根据评分标准，该项得1分。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（2）立项程序规范性（1分）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项目经政府会议通过，</w:t>
      </w:r>
      <w:r>
        <w:rPr>
          <w:rFonts w:hint="eastAsia" w:ascii="仿宋_GB2312" w:hAnsi="仿宋_GB2312" w:cs="仿宋_GB2312"/>
        </w:rPr>
        <w:t>由城阳区发改局批复，依据</w:t>
      </w:r>
      <w:r>
        <w:rPr>
          <w:rFonts w:hint="eastAsia" w:ascii="仿宋_GB2312"/>
        </w:rPr>
        <w:t>城阳区发改局《关于诉讼服务中心配套及智能化建设项目建议书（代可行性研究报告）的复函》（青城发改投资审〔2022〕38号）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  <w:lang w:val="en-US" w:eastAsia="zh-CN"/>
        </w:rPr>
        <w:t>已按照规定的程序申请设立，项目立项规范。根据评分标准，该项得1分。</w:t>
      </w:r>
    </w:p>
    <w:p>
      <w:pPr>
        <w:pStyle w:val="2"/>
        <w:numPr>
          <w:ilvl w:val="0"/>
          <w:numId w:val="2"/>
        </w:numPr>
        <w:ind w:left="75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绩效目标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包括绩效目标合理性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绩效指标明确性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pStyle w:val="2"/>
        <w:numPr>
          <w:ilvl w:val="0"/>
          <w:numId w:val="3"/>
        </w:numPr>
        <w:ind w:left="60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绩效目标合理性（2分）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 w:ascii="仿宋_GB2312" w:hAnsi="Times New Roman" w:cs="Times New Roman"/>
          <w:lang w:val="en-US" w:eastAsia="zh-CN"/>
        </w:rPr>
        <w:t>该项目具有绩效目标申报表，项目年度绩效目标与其对应的业务和实施方案相关。项目预期产出和效益在方案或相关协议中均明确表明。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numPr>
          <w:ilvl w:val="0"/>
          <w:numId w:val="3"/>
        </w:numPr>
        <w:ind w:left="6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绩效指标明确性（2分）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 w:ascii="仿宋_GB2312" w:hAnsi="Times New Roman" w:cs="Times New Roman"/>
          <w:lang w:val="en-US" w:eastAsia="zh-CN"/>
        </w:rPr>
        <w:t>该项目</w:t>
      </w:r>
      <w:r>
        <w:rPr>
          <w:rFonts w:hint="eastAsia" w:ascii="仿宋_GB2312" w:hAnsi="Times New Roman" w:cs="Times New Roman"/>
          <w:lang w:val="en-US" w:eastAsia="zh-CN"/>
        </w:rPr>
        <w:t>设立的绩效指标包含数量指标、质量指标、成本指标、效益指标、满意度指标。指标设置完整、细化、清晰。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pStyle w:val="2"/>
        <w:numPr>
          <w:ilvl w:val="0"/>
          <w:numId w:val="2"/>
        </w:numPr>
        <w:ind w:left="750" w:leftChars="0" w:firstLine="0" w:firstLineChars="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资金投入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包括预算编制科学性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资金分配合理性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 xml:space="preserve">   （1）预算编制科学性（2分）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/>
          <w:lang w:val="en-US" w:eastAsia="zh-CN"/>
        </w:rPr>
        <w:t>项目预算编制</w:t>
      </w:r>
      <w:r>
        <w:rPr>
          <w:rFonts w:hint="eastAsia"/>
          <w:lang w:val="en-US" w:eastAsia="zh-CN"/>
        </w:rPr>
        <w:t>经过预算控制价核定、发改批复及可行性研究报告，预算资金编制合理</w:t>
      </w:r>
      <w:r>
        <w:rPr>
          <w:rFonts w:hint="default"/>
          <w:lang w:val="en-US" w:eastAsia="zh-CN"/>
        </w:rPr>
        <w:t>与年度目标相适应</w:t>
      </w:r>
      <w:r>
        <w:rPr>
          <w:rFonts w:hint="eastAsia"/>
          <w:lang w:val="en-US" w:eastAsia="zh-CN"/>
        </w:rPr>
        <w:t>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numPr>
          <w:ilvl w:val="0"/>
          <w:numId w:val="0"/>
        </w:numPr>
        <w:ind w:left="6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资金分配合理性</w:t>
      </w:r>
      <w:r>
        <w:rPr>
          <w:rFonts w:hint="eastAsia"/>
          <w:lang w:val="en-US" w:eastAsia="zh-CN"/>
        </w:rPr>
        <w:t>（2分）</w:t>
      </w:r>
    </w:p>
    <w:p>
      <w:pPr>
        <w:spacing w:line="440" w:lineRule="exact"/>
        <w:ind w:firstLine="600" w:firstLineChars="200"/>
        <w:outlineLvl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项目资金分配测算依据</w:t>
      </w:r>
      <w:r>
        <w:rPr>
          <w:rFonts w:hint="eastAsia"/>
          <w:lang w:val="en-US" w:eastAsia="zh-CN"/>
        </w:rPr>
        <w:t>合理</w:t>
      </w:r>
      <w:r>
        <w:rPr>
          <w:rFonts w:hint="default"/>
          <w:lang w:val="en-US" w:eastAsia="zh-CN"/>
        </w:rPr>
        <w:t>，预算安排内容与专项资金的设立目的及年度工作重点一致</w:t>
      </w:r>
      <w:r>
        <w:rPr>
          <w:rFonts w:hint="eastAsia"/>
          <w:lang w:val="en-US" w:eastAsia="zh-CN"/>
        </w:rPr>
        <w:t>。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（二）项目过程情况</w:t>
      </w:r>
    </w:p>
    <w:p>
      <w:pPr>
        <w:spacing w:line="440" w:lineRule="exact"/>
        <w:ind w:firstLine="600" w:firstLineChars="200"/>
        <w:outlineLvl w:val="0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1，资金管理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包括资金到位率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预算执行率</w:t>
      </w:r>
      <w:r>
        <w:rPr>
          <w:rFonts w:hint="eastAsia" w:ascii="仿宋_GB2312" w:hAnsi="仿宋_GB2312" w:cs="仿宋_GB2312"/>
          <w:lang w:val="en-US" w:eastAsia="zh-CN"/>
        </w:rPr>
        <w:t>、资金使用合规性3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  <w:lang w:eastAsia="zh-CN"/>
        </w:rPr>
        <w:t>（</w:t>
      </w:r>
      <w:r>
        <w:rPr>
          <w:rFonts w:hint="eastAsia" w:ascii="仿宋_GB2312"/>
          <w:lang w:val="en-US" w:eastAsia="zh-CN"/>
        </w:rPr>
        <w:t>1</w:t>
      </w:r>
      <w:r>
        <w:rPr>
          <w:rFonts w:hint="eastAsia" w:ascii="仿宋_GB2312"/>
          <w:lang w:eastAsia="zh-CN"/>
        </w:rPr>
        <w:t>）资金到位率（</w:t>
      </w:r>
      <w:r>
        <w:rPr>
          <w:rFonts w:hint="eastAsia" w:ascii="仿宋_GB2312"/>
          <w:lang w:val="en-US" w:eastAsia="zh-CN"/>
        </w:rPr>
        <w:t>1分</w:t>
      </w:r>
      <w:r>
        <w:rPr>
          <w:rFonts w:hint="eastAsia" w:ascii="仿宋_GB2312"/>
          <w:lang w:eastAsia="zh-CN"/>
        </w:rPr>
        <w:t>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eastAsia" w:ascii="仿宋_GB2312"/>
          <w:lang w:val="en-US" w:eastAsia="zh-CN"/>
        </w:rPr>
        <w:t>项目预算资金</w:t>
      </w:r>
      <w:r>
        <w:rPr>
          <w:rFonts w:hint="eastAsia" w:ascii="仿宋_GB2312"/>
        </w:rPr>
        <w:t>资金</w:t>
      </w:r>
      <w:r>
        <w:rPr>
          <w:rFonts w:hint="eastAsia" w:ascii="仿宋_GB2312"/>
          <w:lang w:val="en-US" w:eastAsia="zh-CN"/>
        </w:rPr>
        <w:t>211</w:t>
      </w:r>
      <w:r>
        <w:rPr>
          <w:rFonts w:hint="eastAsia" w:ascii="仿宋_GB2312"/>
        </w:rPr>
        <w:t>万元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实际到位资金211万元，</w:t>
      </w:r>
      <w:r>
        <w:rPr>
          <w:rFonts w:hint="eastAsia" w:ascii="仿宋_GB2312"/>
        </w:rPr>
        <w:t>到位率=（实际到位资金/预算资金）*100%</w:t>
      </w:r>
      <w:r>
        <w:rPr>
          <w:rFonts w:hint="eastAsia" w:ascii="仿宋_GB2312"/>
          <w:lang w:val="en-US" w:eastAsia="zh-CN"/>
        </w:rPr>
        <w:t>=（211/211）*100%=100%，</w:t>
      </w:r>
      <w:r>
        <w:rPr>
          <w:rFonts w:hint="eastAsia" w:ascii="仿宋_GB2312" w:hAnsi="仿宋_GB2312" w:cs="仿宋_GB2312"/>
          <w:lang w:val="en-US" w:eastAsia="zh-CN"/>
        </w:rPr>
        <w:t>根据评分标准，该项得1分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pStyle w:val="2"/>
        <w:rPr>
          <w:rFonts w:hint="default"/>
          <w:lang w:val="en-US"/>
        </w:rPr>
      </w:pPr>
      <w:r>
        <w:rPr>
          <w:rFonts w:hint="eastAsia" w:ascii="仿宋_GB2312" w:hAnsi="Times New Roman" w:cs="Times New Roman"/>
          <w:lang w:val="en-US" w:eastAsia="zh-CN"/>
        </w:rPr>
        <w:t xml:space="preserve">     （2）</w:t>
      </w:r>
      <w:r>
        <w:rPr>
          <w:rFonts w:hint="default" w:ascii="仿宋_GB2312" w:hAnsi="仿宋_GB2312" w:cs="仿宋_GB2312"/>
          <w:lang w:val="en-US" w:eastAsia="zh-CN"/>
        </w:rPr>
        <w:t>预算执行率</w:t>
      </w:r>
      <w:r>
        <w:rPr>
          <w:rFonts w:hint="eastAsia" w:ascii="仿宋_GB2312" w:hAnsi="仿宋_GB2312" w:cs="仿宋_GB2312"/>
          <w:lang w:val="en-US" w:eastAsia="zh-CN"/>
        </w:rPr>
        <w:t>（5分）</w:t>
      </w:r>
    </w:p>
    <w:p>
      <w:pPr>
        <w:spacing w:line="440" w:lineRule="exact"/>
        <w:ind w:firstLine="600" w:firstLineChars="200"/>
        <w:outlineLvl w:val="0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该项目全年实际支出金额211</w:t>
      </w:r>
      <w:r>
        <w:rPr>
          <w:rFonts w:hint="eastAsia" w:ascii="仿宋_GB2312"/>
        </w:rPr>
        <w:t>万元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实际到位资金211万元，</w:t>
      </w:r>
    </w:p>
    <w:p>
      <w:pPr>
        <w:spacing w:line="440" w:lineRule="exact"/>
        <w:outlineLvl w:val="0"/>
        <w:rPr>
          <w:rFonts w:hint="eastAsia" w:ascii="仿宋_GB2312"/>
        </w:rPr>
      </w:pPr>
      <w:r>
        <w:rPr>
          <w:rFonts w:hint="eastAsia" w:ascii="仿宋_GB2312"/>
        </w:rPr>
        <w:t>预算执行率=（实际支出金额/实际到位资金）×100%</w:t>
      </w:r>
      <w:r>
        <w:rPr>
          <w:rFonts w:hint="eastAsia" w:ascii="仿宋_GB2312"/>
          <w:lang w:val="en-US" w:eastAsia="zh-CN"/>
        </w:rPr>
        <w:t>=（211/211）*100%=100%，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default" w:ascii="仿宋_GB2312" w:hAnsi="Times New Roman" w:cs="Times New Roman"/>
          <w:lang w:val="en-US" w:eastAsia="zh-CN"/>
        </w:rPr>
        <w:t>。</w:t>
      </w:r>
      <w:r>
        <w:rPr>
          <w:rFonts w:hint="eastAsia" w:ascii="仿宋_GB2312"/>
        </w:rPr>
        <w:t>。</w:t>
      </w:r>
    </w:p>
    <w:p>
      <w:pPr>
        <w:numPr>
          <w:ilvl w:val="0"/>
          <w:numId w:val="3"/>
        </w:numPr>
        <w:spacing w:line="440" w:lineRule="exact"/>
        <w:ind w:left="600" w:leftChars="0" w:firstLine="0" w:firstLineChars="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资金使用合规性</w:t>
      </w:r>
      <w:r>
        <w:rPr>
          <w:rFonts w:hint="eastAsia" w:ascii="仿宋_GB2312" w:hAnsi="仿宋_GB2312" w:cs="仿宋_GB2312"/>
          <w:lang w:val="en-US" w:eastAsia="zh-CN"/>
        </w:rPr>
        <w:t>（2分）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</w:rPr>
        <w:t>在开展过程中严格按照项目管理办法和资金使用制度，做到项目资金专款专用、按照项目独立核算、无截留、挤占、挪用、虚列支出，定期上报相关项目进度，督促相关部门完成工作进度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资金使用符合制度要求，</w:t>
      </w:r>
      <w:r>
        <w:rPr>
          <w:rFonts w:hint="eastAsia" w:ascii="仿宋_GB2312" w:hAnsi="仿宋_GB2312" w:cs="仿宋_GB2312"/>
          <w:lang w:val="en-US" w:eastAsia="zh-CN"/>
        </w:rPr>
        <w:t>根据评分标准，该项得2分</w:t>
      </w:r>
      <w:r>
        <w:rPr>
          <w:rFonts w:hint="eastAsia" w:ascii="仿宋_GB2312"/>
        </w:rPr>
        <w:t>。</w:t>
      </w:r>
    </w:p>
    <w:p>
      <w:pPr>
        <w:pStyle w:val="2"/>
        <w:numPr>
          <w:ilvl w:val="0"/>
          <w:numId w:val="4"/>
        </w:numPr>
        <w:ind w:left="600" w:leftChars="0" w:firstLine="0" w:firstLineChars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组织实施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包括管理制度健全性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绩效管理有效性</w:t>
      </w:r>
      <w:r>
        <w:rPr>
          <w:rFonts w:hint="eastAsia" w:ascii="仿宋_GB2312" w:hAnsi="仿宋_GB2312" w:cs="仿宋_GB2312"/>
          <w:lang w:val="en-US" w:eastAsia="zh-CN"/>
        </w:rPr>
        <w:t>、制度执行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jc w:val="left"/>
        <w:outlineLvl w:val="0"/>
        <w:rPr>
          <w:rFonts w:hint="eastAsia" w:ascii="仿宋_GB2312"/>
        </w:rPr>
      </w:pPr>
      <w:r>
        <w:rPr>
          <w:rFonts w:hint="eastAsia" w:ascii="仿宋_GB2312" w:hAnsi="仿宋_GB2312" w:cs="仿宋_GB2312"/>
          <w:lang w:val="en-US" w:eastAsia="zh-CN"/>
        </w:rPr>
        <w:t>有效性3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numPr>
          <w:ilvl w:val="0"/>
          <w:numId w:val="5"/>
        </w:numPr>
        <w:ind w:left="600" w:leftChars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管理制度健全性</w:t>
      </w:r>
      <w:r>
        <w:rPr>
          <w:rFonts w:hint="eastAsia" w:ascii="仿宋_GB2312" w:hAnsi="仿宋_GB2312" w:cs="仿宋_GB2312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我单位制度相应的财务和业务管理制度，财务和业务管理制度合法、合规、完整，该项目在执行过程中按照制度实施开展，保障了项目顺利完工。</w:t>
      </w:r>
      <w:r>
        <w:rPr>
          <w:rFonts w:hint="eastAsia" w:ascii="仿宋_GB2312" w:hAnsi="仿宋_GB2312" w:cs="仿宋_GB2312"/>
          <w:lang w:val="en-US" w:eastAsia="zh-CN"/>
        </w:rPr>
        <w:t>根据评分标准，该项得6分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5"/>
        </w:numPr>
        <w:ind w:left="600" w:leftChars="0" w:firstLine="0" w:firstLineChars="0"/>
        <w:rPr>
          <w:rFonts w:hint="default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绩效管理有效性</w:t>
      </w:r>
      <w:r>
        <w:rPr>
          <w:rFonts w:hint="eastAsia" w:ascii="仿宋_GB2312" w:hAnsi="仿宋_GB2312" w:cs="仿宋_GB2312"/>
          <w:lang w:val="en-US" w:eastAsia="zh-CN"/>
        </w:rPr>
        <w:t>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自评资料报送及时，项目执行进度符合年度绩效指标，项目过程定期开展督导考核工作，上年度绩效评价结果应用到项目的预算安排、政策调整和改进管理中。项目绩效管理合理、有效，根据评分标准，该项得5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5"/>
        </w:numPr>
        <w:ind w:left="60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制度执行有效性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项目执行过程中发生</w:t>
      </w:r>
      <w:r>
        <w:rPr>
          <w:rFonts w:hint="default" w:ascii="仿宋_GB2312" w:hAnsi="仿宋_GB2312" w:cs="仿宋_GB2312"/>
          <w:lang w:val="en-US" w:eastAsia="zh-CN"/>
        </w:rPr>
        <w:t>调整及支出调整手续完备；项目合同书、</w:t>
      </w:r>
      <w:r>
        <w:rPr>
          <w:rFonts w:hint="eastAsia" w:ascii="仿宋_GB2312" w:hAnsi="仿宋_GB2312" w:cs="仿宋_GB2312"/>
          <w:lang w:val="en-US" w:eastAsia="zh-CN"/>
        </w:rPr>
        <w:t>招投标资料</w:t>
      </w:r>
      <w:r>
        <w:rPr>
          <w:rFonts w:hint="default" w:ascii="仿宋_GB2312" w:hAnsi="仿宋_GB2312" w:cs="仿宋_GB2312"/>
          <w:lang w:val="en-US" w:eastAsia="zh-CN"/>
        </w:rPr>
        <w:t>、技术鉴定等资料齐全并及时归档；项目实施的人员条件、场地设备、信息支撑等</w:t>
      </w:r>
      <w:r>
        <w:rPr>
          <w:rFonts w:hint="eastAsia" w:ascii="仿宋_GB2312" w:hAnsi="仿宋_GB2312" w:cs="仿宋_GB2312"/>
          <w:lang w:val="en-US" w:eastAsia="zh-CN"/>
        </w:rPr>
        <w:t>均已</w:t>
      </w:r>
      <w:r>
        <w:rPr>
          <w:rFonts w:hint="default" w:ascii="仿宋_GB2312" w:hAnsi="仿宋_GB2312" w:cs="仿宋_GB2312"/>
          <w:lang w:val="en-US" w:eastAsia="zh-CN"/>
        </w:rPr>
        <w:t>落实到位</w:t>
      </w:r>
      <w:r>
        <w:rPr>
          <w:rFonts w:hint="eastAsia" w:ascii="仿宋_GB2312" w:hAnsi="仿宋_GB2312" w:cs="仿宋_GB2312"/>
          <w:lang w:val="en-US" w:eastAsia="zh-CN"/>
        </w:rPr>
        <w:t>。根据评分标准，该项得6分</w:t>
      </w:r>
      <w:r>
        <w:rPr>
          <w:rFonts w:hint="eastAsia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（三）项目产出情况</w:t>
      </w:r>
    </w:p>
    <w:p>
      <w:pPr>
        <w:spacing w:line="440" w:lineRule="exact"/>
        <w:ind w:firstLine="600" w:firstLineChars="200"/>
        <w:outlineLvl w:val="0"/>
        <w:rPr>
          <w:rFonts w:hint="eastAsia"/>
          <w:lang w:val="en-US" w:eastAsia="zh-CN"/>
        </w:rPr>
      </w:pPr>
      <w:r>
        <w:rPr>
          <w:rFonts w:hint="eastAsia" w:ascii="仿宋_GB2312"/>
          <w:lang w:val="en-US" w:eastAsia="zh-CN"/>
        </w:rPr>
        <w:t>1、产出数量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 xml:space="preserve"> 三级指标实际完成率</w:t>
      </w:r>
      <w:r>
        <w:rPr>
          <w:rFonts w:hint="default" w:ascii="仿宋_GB2312" w:hAnsi="仿宋_GB2312" w:cs="仿宋_GB2312"/>
          <w:lang w:val="en-US" w:eastAsia="zh-CN"/>
        </w:rPr>
        <w:t>包括辅助办理案件</w:t>
      </w:r>
      <w:r>
        <w:rPr>
          <w:rFonts w:hint="eastAsia" w:ascii="仿宋_GB2312" w:hAnsi="仿宋_GB2312" w:cs="仿宋_GB2312"/>
          <w:lang w:val="en-US" w:eastAsia="zh-CN"/>
        </w:rPr>
        <w:t>、平均办案天数、法院受理案件结收比3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辅助办理案件</w:t>
      </w:r>
      <w:r>
        <w:rPr>
          <w:rFonts w:hint="eastAsia" w:ascii="仿宋_GB2312" w:hAnsi="仿宋_GB2312" w:cs="仿宋_GB2312"/>
          <w:lang w:val="en-US" w:eastAsia="zh-CN"/>
        </w:rPr>
        <w:t>(5分)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2022年司法（调解）辅助服务案件数量22595件，案件类型复杂多样，包括工伤赔偿、非因公死亡赔偿、农村土地纠纷和征地拆迁补偿款分配纠纷、租赁合同纠纷等。服务人员进一步掌握群众的实际法律需求，及时解决群众诉求、化解矛盾。满足全年案件数≥20000件的指标值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  <w:t>平均办案天数</w:t>
      </w: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  <w:t>平均办案天数由标准值70天，降低为平均55.8天，同比缩短20.29%，审判效率明显提升。实现了为法官减负、为司法提速的目标</w:t>
      </w: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left="600" w:left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（3）法院受理案件结收比（5天）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  <w:t>法院受理案件结收比目标值≥90%，2022年全年受理案件结收比100%，</w:t>
      </w: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超出预期值，区法院在工作中，</w:t>
      </w:r>
      <w:r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  <w:t>完善简易案件速裁机制，实现难案精审，简案快审</w:t>
      </w: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，提升案件结收比。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tabs>
          <w:tab w:val="left" w:pos="1239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2、产出质量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>三级指标质量达标率</w:t>
      </w:r>
      <w:r>
        <w:rPr>
          <w:rFonts w:hint="default" w:ascii="仿宋_GB2312" w:hAnsi="仿宋_GB2312" w:cs="仿宋_GB2312"/>
          <w:lang w:val="en-US" w:eastAsia="zh-CN"/>
        </w:rPr>
        <w:t>包括受理案件结案率</w:t>
      </w:r>
      <w:r>
        <w:rPr>
          <w:rFonts w:hint="eastAsia" w:ascii="仿宋_GB2312" w:hAnsi="仿宋_GB2312" w:cs="仿宋_GB2312"/>
          <w:lang w:val="en-US" w:eastAsia="zh-CN"/>
        </w:rPr>
        <w:t>、上诉案件被发改率2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受理案件结案率</w:t>
      </w:r>
      <w:r>
        <w:rPr>
          <w:rFonts w:hint="eastAsia" w:ascii="仿宋_GB2312" w:hAnsi="仿宋_GB2312" w:cs="仿宋_GB2312"/>
          <w:lang w:val="en-US" w:eastAsia="zh-CN"/>
        </w:rPr>
        <w:t>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lang w:val="en-US" w:eastAsia="zh-CN"/>
        </w:rPr>
        <w:t>全年受理案件结算率96.16%，高于目标值85%，结案率同比上升11.16%。一定程度上解放“司法劳动力”、释放“司法人力资源”，缓解“案多人少”的压力，提升工作效率。根据评分标准，该项得5分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（2）上诉案件被发改率（5分）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lang w:val="en-US" w:eastAsia="zh-CN"/>
        </w:rPr>
        <w:t>2022年区法院上诉案件被发改率10.58%，低于目标值14%，发改率同比下降3.42%。工作人员不断总结积累相关审判经验，提高审判此类案件的能力。通过加强文书说理，促使服判息。根据评分标准，该项得5分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left="600" w:leftChars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3、产出时效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完成及时率</w:t>
      </w:r>
      <w:r>
        <w:rPr>
          <w:rFonts w:hint="eastAsia"/>
          <w:lang w:val="en-US" w:eastAsia="zh-CN"/>
        </w:rPr>
        <w:t>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>经费保障大要案办案费用，两庭装备维修，以及开展全市两级法院司法业务培训会议，工作及时高质量的将年初计划执行完毕。</w:t>
      </w:r>
      <w:r>
        <w:rPr>
          <w:rFonts w:hint="eastAsia" w:ascii="仿宋_GB2312" w:hAnsi="仿宋_GB2312" w:cs="仿宋_GB2312"/>
          <w:lang w:val="en-US" w:eastAsia="zh-CN"/>
        </w:rPr>
        <w:t>根据评分标准，该项得5分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spacing w:line="440" w:lineRule="exact"/>
        <w:ind w:left="600" w:leftChars="0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4、产出成本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成本节约率</w:t>
      </w:r>
      <w:r>
        <w:rPr>
          <w:rFonts w:hint="eastAsia"/>
          <w:lang w:val="en-US" w:eastAsia="zh-CN"/>
        </w:rPr>
        <w:t>（5分）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基层法院统筹诉讼费专项资金项目按照财政预算批复采购，未出现超预算支出情况。根据评分标准，该项得5分。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（四）项目效益情况</w:t>
      </w:r>
    </w:p>
    <w:p>
      <w:pPr>
        <w:spacing w:line="440" w:lineRule="exact"/>
        <w:ind w:firstLine="600" w:firstLineChars="20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1、项目效益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>三级指标社会效益</w:t>
      </w:r>
      <w:r>
        <w:rPr>
          <w:rFonts w:hint="default" w:ascii="仿宋_GB2312" w:hAnsi="仿宋_GB2312" w:cs="仿宋_GB2312"/>
          <w:lang w:val="en-US" w:eastAsia="zh-CN"/>
        </w:rPr>
        <w:t>包括执行标的额到位率</w:t>
      </w:r>
      <w:r>
        <w:rPr>
          <w:rFonts w:hint="eastAsia" w:ascii="仿宋_GB2312" w:hAnsi="仿宋_GB2312" w:cs="仿宋_GB2312"/>
          <w:lang w:val="en-US" w:eastAsia="zh-CN"/>
        </w:rPr>
        <w:t>、受理案件调解撤诉率、受理案件服判息诉率、办案成效4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执行标的额到位率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执行标的额到位率</w:t>
      </w:r>
      <w:r>
        <w:rPr>
          <w:rFonts w:hint="eastAsia" w:ascii="仿宋_GB2312" w:hAnsi="仿宋_GB2312" w:cs="仿宋_GB2312"/>
          <w:lang w:val="en-US" w:eastAsia="zh-CN"/>
        </w:rPr>
        <w:t>全年目标值≥17%，经统计2022年</w:t>
      </w:r>
      <w:r>
        <w:rPr>
          <w:rFonts w:hint="default" w:ascii="仿宋_GB2312" w:hAnsi="仿宋_GB2312" w:cs="仿宋_GB2312"/>
          <w:lang w:val="en-US" w:eastAsia="zh-CN"/>
        </w:rPr>
        <w:t>标的额到位率52.31%</w:t>
      </w:r>
      <w:r>
        <w:rPr>
          <w:rFonts w:hint="eastAsia" w:ascii="仿宋_GB2312" w:hAnsi="仿宋_GB2312" w:cs="仿宋_GB2312"/>
          <w:lang w:val="en-US" w:eastAsia="zh-CN"/>
        </w:rPr>
        <w:t>，同比增长35.31%，完成期初目标。工作人员加强执法力度，全力保障了胜诉方的合法权益。</w:t>
      </w:r>
      <w:r>
        <w:rPr>
          <w:rFonts w:hint="eastAsia"/>
          <w:lang w:val="en-US" w:eastAsia="zh-CN"/>
        </w:rPr>
        <w:t>根据评分标准，该项得6分。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（2）受理案件调解撤诉率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办案调撤率</w:t>
      </w:r>
      <w:r>
        <w:rPr>
          <w:rFonts w:hint="eastAsia" w:ascii="仿宋_GB2312" w:hAnsi="仿宋_GB2312" w:cs="仿宋_GB2312"/>
          <w:lang w:val="en-US" w:eastAsia="zh-CN"/>
        </w:rPr>
        <w:t>全年目标值≥45%，经统计2022年</w:t>
      </w:r>
      <w:r>
        <w:rPr>
          <w:rFonts w:hint="default" w:ascii="仿宋_GB2312" w:hAnsi="仿宋_GB2312" w:cs="仿宋_GB2312"/>
          <w:lang w:val="en-US" w:eastAsia="zh-CN"/>
        </w:rPr>
        <w:t>办案调撤率42.63%</w:t>
      </w:r>
      <w:r>
        <w:rPr>
          <w:rFonts w:hint="eastAsia" w:ascii="仿宋_GB2312" w:hAnsi="仿宋_GB2312" w:cs="仿宋_GB2312"/>
          <w:lang w:val="en-US" w:eastAsia="zh-CN"/>
        </w:rPr>
        <w:t>，低于目标值2.37%，由于疫情期间，当事人调解人次下降，未能完成预期目标，</w:t>
      </w:r>
      <w:r>
        <w:rPr>
          <w:rFonts w:hint="eastAsia"/>
          <w:lang w:val="en-US" w:eastAsia="zh-CN"/>
        </w:rPr>
        <w:t>根据评分标准，该项得4.2分。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（3）服判息诉率</w:t>
      </w:r>
      <w:r>
        <w:rPr>
          <w:rFonts w:hint="eastAsia"/>
          <w:lang w:val="en-US" w:eastAsia="zh-CN"/>
        </w:rPr>
        <w:t>（6分）</w:t>
      </w:r>
    </w:p>
    <w:p>
      <w:pPr>
        <w:spacing w:line="440" w:lineRule="exact"/>
        <w:ind w:firstLine="60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全年服判息诉率86.99%，高于目标值80%，息诉率同比上升16.99%。辅助人员协助做好诉讼辅导、法律释明、判后答疑、案件回访等工作，有效消除了一审当事人因对判决不理解而引发的不满情绪。</w:t>
      </w:r>
      <w:r>
        <w:rPr>
          <w:rFonts w:hint="eastAsia"/>
          <w:lang w:val="en-US" w:eastAsia="zh-CN"/>
        </w:rPr>
        <w:t>根据评分标准，该项得6分。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（4）办案成效</w:t>
      </w:r>
      <w:r>
        <w:rPr>
          <w:rFonts w:hint="eastAsia"/>
          <w:lang w:val="en-US" w:eastAsia="zh-CN"/>
        </w:rPr>
        <w:t>（6分）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区法院2022年继续全面落实司法责任制，完善司法权力运行机制，明确院庭长监督管理权责，深化人员分类管理改革，深入推进案件繁简分流、小额速裁等机制，深化智慧法院建设，全面深度应用全流程网上办案系统，促进审判体系和审判能力现代化，维护社会公平正义。办案成效显著。根据评分标准，该项得6分。</w:t>
      </w:r>
    </w:p>
    <w:p>
      <w:pPr>
        <w:numPr>
          <w:ilvl w:val="0"/>
          <w:numId w:val="0"/>
        </w:numPr>
        <w:ind w:left="600" w:leftChars="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cs="Times New Roman"/>
          <w:lang w:val="en-US" w:eastAsia="zh-CN"/>
        </w:rPr>
        <w:t>2、</w:t>
      </w:r>
      <w:r>
        <w:rPr>
          <w:rFonts w:hint="eastAsia" w:ascii="仿宋_GB2312" w:hAnsi="Times New Roman" w:cs="Times New Roman"/>
          <w:lang w:val="en-US" w:eastAsia="zh-CN"/>
        </w:rPr>
        <w:t>满意度</w:t>
      </w:r>
    </w:p>
    <w:p>
      <w:pPr>
        <w:spacing w:line="440" w:lineRule="exact"/>
        <w:ind w:firstLine="600" w:firstLineChars="200"/>
        <w:rPr>
          <w:rFonts w:hint="default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根据问卷调查结果，针对</w:t>
      </w:r>
      <w:r>
        <w:rPr>
          <w:rFonts w:hint="eastAsia" w:ascii="仿宋_GB2312" w:cs="Times New Roman"/>
          <w:lang w:val="en-US" w:eastAsia="zh-CN"/>
        </w:rPr>
        <w:t>社会公众</w:t>
      </w:r>
      <w:r>
        <w:rPr>
          <w:rFonts w:hint="eastAsia" w:ascii="仿宋_GB2312" w:hAnsi="Times New Roman" w:cs="Times New Roman"/>
          <w:lang w:val="en-US" w:eastAsia="zh-CN"/>
        </w:rPr>
        <w:t>的满意度，</w:t>
      </w:r>
      <w:r>
        <w:rPr>
          <w:rFonts w:hint="eastAsia" w:ascii="仿宋_GB2312" w:cs="Times New Roman"/>
          <w:lang w:val="en-US" w:eastAsia="zh-CN"/>
        </w:rPr>
        <w:t>其中95%的群众及协助的工作人员</w:t>
      </w:r>
      <w:r>
        <w:rPr>
          <w:rFonts w:hint="eastAsia" w:ascii="仿宋_GB2312" w:hAnsi="Times New Roman" w:cs="Times New Roman"/>
          <w:lang w:val="en-US" w:eastAsia="zh-CN"/>
        </w:rPr>
        <w:t>表示“非常满意”。根据评分标准，该项得</w:t>
      </w:r>
      <w:r>
        <w:rPr>
          <w:rFonts w:hint="eastAsia" w:ascii="仿宋_GB2312" w:cs="Times New Roman"/>
          <w:lang w:val="en-US" w:eastAsia="zh-CN"/>
        </w:rPr>
        <w:t>6</w:t>
      </w:r>
      <w:r>
        <w:rPr>
          <w:rFonts w:hint="eastAsia" w:ascii="仿宋_GB2312" w:hAnsi="Times New Roman" w:cs="Times New Roman"/>
          <w:lang w:val="en-US" w:eastAsia="zh-CN"/>
        </w:rPr>
        <w:t>分。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（一）加强开展进度的跟踪，开展项目绩效评价，确保项目绩效目标的完成。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（二）合理设定绩效指标值，侧重产出、效益指标。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（三）认作做好预算的编制，细化预算编制工作。加强内部预算管理，落实预算编制制度，提高预算编制的科学性、严谨性。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六、存在的问题及原因分析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存在问题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绩效评价体系尚不完善，还处于摸索阶段。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分析原因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仿宋_GB2312"/>
          <w:szCs w:val="30"/>
        </w:rPr>
        <w:t>绩效评价体系设立新生事物且专业性强，现基层工作人员有限，缺乏相应的行家里手。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七、改进措施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（一）预算安排方面</w:t>
      </w:r>
    </w:p>
    <w:p>
      <w:pPr>
        <w:widowControl/>
        <w:adjustRightInd w:val="0"/>
        <w:spacing w:line="440" w:lineRule="exact"/>
        <w:ind w:firstLine="663" w:firstLineChars="221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强化绩效意识和绩效管理理念，完善预算编制程序，注重项目论述，加强预算编报工作的科学性、精准性和合理性，进一步提高预算编制的精细化水平，着力实现项目实施的效应。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（二）改善管理方面</w:t>
      </w:r>
    </w:p>
    <w:p>
      <w:pPr>
        <w:widowControl/>
        <w:adjustRightInd w:val="0"/>
        <w:spacing w:after="204" w:afterLines="50" w:line="440" w:lineRule="exact"/>
        <w:ind w:firstLine="663" w:firstLineChars="221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加强对执行单位的项目执行情况进行检查、监督和指导，针对发现的问题及时提出整改建议，切实做到立行立改；加大项目绩效跟踪力度，加强对项目绩效情况进行核查、督导。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附件：基层法院统筹诉讼费专项资金指标体系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简黑体">
    <w:altName w:val="黑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541936"/>
    <w:multiLevelType w:val="singleLevel"/>
    <w:tmpl w:val="D854193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9B28DF9"/>
    <w:multiLevelType w:val="singleLevel"/>
    <w:tmpl w:val="E9B28DF9"/>
    <w:lvl w:ilvl="0" w:tentative="0">
      <w:start w:val="2"/>
      <w:numFmt w:val="decimal"/>
      <w:suff w:val="nothing"/>
      <w:lvlText w:val="%1、"/>
      <w:lvlJc w:val="left"/>
      <w:pPr>
        <w:ind w:left="750" w:leftChars="0" w:firstLine="0" w:firstLineChars="0"/>
      </w:pPr>
    </w:lvl>
  </w:abstractNum>
  <w:abstractNum w:abstractNumId="2">
    <w:nsid w:val="EFE1ADE6"/>
    <w:multiLevelType w:val="singleLevel"/>
    <w:tmpl w:val="EFE1ADE6"/>
    <w:lvl w:ilvl="0" w:tentative="0">
      <w:start w:val="1"/>
      <w:numFmt w:val="decimal"/>
      <w:suff w:val="nothing"/>
      <w:lvlText w:val="（%1）"/>
      <w:lvlJc w:val="left"/>
      <w:pPr>
        <w:ind w:left="600" w:leftChars="0" w:firstLine="0" w:firstLineChars="0"/>
      </w:pPr>
    </w:lvl>
  </w:abstractNum>
  <w:abstractNum w:abstractNumId="3">
    <w:nsid w:val="02E05877"/>
    <w:multiLevelType w:val="singleLevel"/>
    <w:tmpl w:val="02E05877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540FA1A"/>
    <w:multiLevelType w:val="singleLevel"/>
    <w:tmpl w:val="6540FA1A"/>
    <w:lvl w:ilvl="0" w:tentative="0">
      <w:start w:val="2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0"/>
  <w:drawingGridVerticalSpacing w:val="204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iYWY0NjNmNzA3MzJhMTA2YzUzZDgxODgzZGYyODcifQ=="/>
  </w:docVars>
  <w:rsids>
    <w:rsidRoot w:val="000D3013"/>
    <w:rsid w:val="00000C4F"/>
    <w:rsid w:val="000020B0"/>
    <w:rsid w:val="000041BF"/>
    <w:rsid w:val="000044F4"/>
    <w:rsid w:val="00007E32"/>
    <w:rsid w:val="000103D5"/>
    <w:rsid w:val="00010E2A"/>
    <w:rsid w:val="00027369"/>
    <w:rsid w:val="00030A0B"/>
    <w:rsid w:val="00031EC4"/>
    <w:rsid w:val="00032C4A"/>
    <w:rsid w:val="000333D8"/>
    <w:rsid w:val="00036789"/>
    <w:rsid w:val="0003682C"/>
    <w:rsid w:val="00037B24"/>
    <w:rsid w:val="00042CA1"/>
    <w:rsid w:val="00044271"/>
    <w:rsid w:val="00050D10"/>
    <w:rsid w:val="000573DD"/>
    <w:rsid w:val="00057759"/>
    <w:rsid w:val="00061D97"/>
    <w:rsid w:val="000634F0"/>
    <w:rsid w:val="00067563"/>
    <w:rsid w:val="00070FBA"/>
    <w:rsid w:val="00071061"/>
    <w:rsid w:val="000733FF"/>
    <w:rsid w:val="0007390C"/>
    <w:rsid w:val="00075D4A"/>
    <w:rsid w:val="0007739E"/>
    <w:rsid w:val="00085899"/>
    <w:rsid w:val="00087EB1"/>
    <w:rsid w:val="00090446"/>
    <w:rsid w:val="000919E6"/>
    <w:rsid w:val="00091F3E"/>
    <w:rsid w:val="00092DE5"/>
    <w:rsid w:val="000A502C"/>
    <w:rsid w:val="000A5266"/>
    <w:rsid w:val="000B0CEF"/>
    <w:rsid w:val="000B3010"/>
    <w:rsid w:val="000B710F"/>
    <w:rsid w:val="000C143F"/>
    <w:rsid w:val="000C3DBE"/>
    <w:rsid w:val="000C4ECE"/>
    <w:rsid w:val="000C6E8A"/>
    <w:rsid w:val="000D0D7F"/>
    <w:rsid w:val="000D2FF8"/>
    <w:rsid w:val="000D3013"/>
    <w:rsid w:val="000D338E"/>
    <w:rsid w:val="000D3E8B"/>
    <w:rsid w:val="000D453F"/>
    <w:rsid w:val="000D48A1"/>
    <w:rsid w:val="000D4C37"/>
    <w:rsid w:val="000D5E83"/>
    <w:rsid w:val="000D63F2"/>
    <w:rsid w:val="000D77DF"/>
    <w:rsid w:val="000D7F9C"/>
    <w:rsid w:val="000E15F4"/>
    <w:rsid w:val="000E275D"/>
    <w:rsid w:val="000E79DA"/>
    <w:rsid w:val="000F090A"/>
    <w:rsid w:val="000F1754"/>
    <w:rsid w:val="000F23EC"/>
    <w:rsid w:val="00100AD8"/>
    <w:rsid w:val="00112D41"/>
    <w:rsid w:val="0011454F"/>
    <w:rsid w:val="001149EB"/>
    <w:rsid w:val="00115780"/>
    <w:rsid w:val="00117915"/>
    <w:rsid w:val="001209E4"/>
    <w:rsid w:val="0012120D"/>
    <w:rsid w:val="00126214"/>
    <w:rsid w:val="00130088"/>
    <w:rsid w:val="00131EBF"/>
    <w:rsid w:val="00132826"/>
    <w:rsid w:val="00132F18"/>
    <w:rsid w:val="001354D8"/>
    <w:rsid w:val="00137947"/>
    <w:rsid w:val="0014274E"/>
    <w:rsid w:val="00145E8B"/>
    <w:rsid w:val="001478FD"/>
    <w:rsid w:val="00151AA5"/>
    <w:rsid w:val="00153E4F"/>
    <w:rsid w:val="00161918"/>
    <w:rsid w:val="001634BE"/>
    <w:rsid w:val="0016678E"/>
    <w:rsid w:val="00171EA9"/>
    <w:rsid w:val="00173CD7"/>
    <w:rsid w:val="00174270"/>
    <w:rsid w:val="00175251"/>
    <w:rsid w:val="00176075"/>
    <w:rsid w:val="00177995"/>
    <w:rsid w:val="00180D04"/>
    <w:rsid w:val="001853DF"/>
    <w:rsid w:val="00185F52"/>
    <w:rsid w:val="001866E4"/>
    <w:rsid w:val="00187579"/>
    <w:rsid w:val="0019250D"/>
    <w:rsid w:val="001965AC"/>
    <w:rsid w:val="00196D07"/>
    <w:rsid w:val="00197E8A"/>
    <w:rsid w:val="001A7658"/>
    <w:rsid w:val="001B61D8"/>
    <w:rsid w:val="001B77F3"/>
    <w:rsid w:val="001C7F63"/>
    <w:rsid w:val="001D0C26"/>
    <w:rsid w:val="001D27B6"/>
    <w:rsid w:val="001D43BB"/>
    <w:rsid w:val="001D5252"/>
    <w:rsid w:val="001D5CB6"/>
    <w:rsid w:val="001D5CD5"/>
    <w:rsid w:val="001D7CEB"/>
    <w:rsid w:val="001E06D8"/>
    <w:rsid w:val="001E47D2"/>
    <w:rsid w:val="001E6951"/>
    <w:rsid w:val="001F16C2"/>
    <w:rsid w:val="001F23A6"/>
    <w:rsid w:val="001F2FF1"/>
    <w:rsid w:val="001F32CE"/>
    <w:rsid w:val="001F5502"/>
    <w:rsid w:val="001F65FD"/>
    <w:rsid w:val="001F6E16"/>
    <w:rsid w:val="001F7358"/>
    <w:rsid w:val="00200EA7"/>
    <w:rsid w:val="00201680"/>
    <w:rsid w:val="00202742"/>
    <w:rsid w:val="002031C0"/>
    <w:rsid w:val="00204620"/>
    <w:rsid w:val="002106CC"/>
    <w:rsid w:val="00211DC0"/>
    <w:rsid w:val="00227E4A"/>
    <w:rsid w:val="00230A34"/>
    <w:rsid w:val="00233257"/>
    <w:rsid w:val="00233F68"/>
    <w:rsid w:val="002369F3"/>
    <w:rsid w:val="00236C29"/>
    <w:rsid w:val="00237E22"/>
    <w:rsid w:val="00237F15"/>
    <w:rsid w:val="00241AFE"/>
    <w:rsid w:val="00241C5A"/>
    <w:rsid w:val="00241DE6"/>
    <w:rsid w:val="00242B43"/>
    <w:rsid w:val="0024693C"/>
    <w:rsid w:val="00246F8C"/>
    <w:rsid w:val="00247E49"/>
    <w:rsid w:val="00252B67"/>
    <w:rsid w:val="002532CF"/>
    <w:rsid w:val="00253806"/>
    <w:rsid w:val="00255698"/>
    <w:rsid w:val="002559FA"/>
    <w:rsid w:val="00256D07"/>
    <w:rsid w:val="00261E2A"/>
    <w:rsid w:val="00264D4D"/>
    <w:rsid w:val="00274CB8"/>
    <w:rsid w:val="00274E4C"/>
    <w:rsid w:val="0028193B"/>
    <w:rsid w:val="00287D56"/>
    <w:rsid w:val="00291CA5"/>
    <w:rsid w:val="00297D84"/>
    <w:rsid w:val="002A2979"/>
    <w:rsid w:val="002B1C30"/>
    <w:rsid w:val="002B71CF"/>
    <w:rsid w:val="002C1909"/>
    <w:rsid w:val="002C2184"/>
    <w:rsid w:val="002D184A"/>
    <w:rsid w:val="002D1AA0"/>
    <w:rsid w:val="002D3CD6"/>
    <w:rsid w:val="002D4D45"/>
    <w:rsid w:val="002D6843"/>
    <w:rsid w:val="002E0054"/>
    <w:rsid w:val="002E42C5"/>
    <w:rsid w:val="002E4388"/>
    <w:rsid w:val="002E607A"/>
    <w:rsid w:val="002F1336"/>
    <w:rsid w:val="002F2869"/>
    <w:rsid w:val="002F690E"/>
    <w:rsid w:val="00302A4B"/>
    <w:rsid w:val="0030306B"/>
    <w:rsid w:val="00303447"/>
    <w:rsid w:val="00306394"/>
    <w:rsid w:val="00306D3B"/>
    <w:rsid w:val="00307603"/>
    <w:rsid w:val="003103E4"/>
    <w:rsid w:val="0031071A"/>
    <w:rsid w:val="00315A5A"/>
    <w:rsid w:val="00316281"/>
    <w:rsid w:val="00321909"/>
    <w:rsid w:val="00321AF1"/>
    <w:rsid w:val="00322F73"/>
    <w:rsid w:val="00324FB0"/>
    <w:rsid w:val="0032572C"/>
    <w:rsid w:val="00327FB8"/>
    <w:rsid w:val="00330561"/>
    <w:rsid w:val="00331331"/>
    <w:rsid w:val="00332A27"/>
    <w:rsid w:val="003332E3"/>
    <w:rsid w:val="00333344"/>
    <w:rsid w:val="00345C63"/>
    <w:rsid w:val="00345CCF"/>
    <w:rsid w:val="0034768D"/>
    <w:rsid w:val="00351237"/>
    <w:rsid w:val="00351F5E"/>
    <w:rsid w:val="00353BAA"/>
    <w:rsid w:val="003555F6"/>
    <w:rsid w:val="0035568B"/>
    <w:rsid w:val="00364790"/>
    <w:rsid w:val="003666A3"/>
    <w:rsid w:val="00370613"/>
    <w:rsid w:val="00372854"/>
    <w:rsid w:val="00375AFF"/>
    <w:rsid w:val="003803FA"/>
    <w:rsid w:val="003834D1"/>
    <w:rsid w:val="00383F5D"/>
    <w:rsid w:val="003859A0"/>
    <w:rsid w:val="00386D5B"/>
    <w:rsid w:val="003925F3"/>
    <w:rsid w:val="00394D60"/>
    <w:rsid w:val="0039737D"/>
    <w:rsid w:val="003A5FF3"/>
    <w:rsid w:val="003A759D"/>
    <w:rsid w:val="003B5CF1"/>
    <w:rsid w:val="003B63F3"/>
    <w:rsid w:val="003C0263"/>
    <w:rsid w:val="003C29C3"/>
    <w:rsid w:val="003C2DED"/>
    <w:rsid w:val="003C34DB"/>
    <w:rsid w:val="003D04B3"/>
    <w:rsid w:val="003D1F81"/>
    <w:rsid w:val="003D6B7B"/>
    <w:rsid w:val="003D7301"/>
    <w:rsid w:val="003E53D2"/>
    <w:rsid w:val="003F4DF5"/>
    <w:rsid w:val="003F59DD"/>
    <w:rsid w:val="004071DA"/>
    <w:rsid w:val="0041194D"/>
    <w:rsid w:val="004134E3"/>
    <w:rsid w:val="00413836"/>
    <w:rsid w:val="004142FB"/>
    <w:rsid w:val="0041432D"/>
    <w:rsid w:val="004161F8"/>
    <w:rsid w:val="00421B24"/>
    <w:rsid w:val="00422C1B"/>
    <w:rsid w:val="004239DF"/>
    <w:rsid w:val="004274BC"/>
    <w:rsid w:val="004313B5"/>
    <w:rsid w:val="00432E77"/>
    <w:rsid w:val="004340F8"/>
    <w:rsid w:val="00436BD8"/>
    <w:rsid w:val="00446375"/>
    <w:rsid w:val="00446D6E"/>
    <w:rsid w:val="004554DD"/>
    <w:rsid w:val="004600C8"/>
    <w:rsid w:val="00467A03"/>
    <w:rsid w:val="00470B10"/>
    <w:rsid w:val="00471F51"/>
    <w:rsid w:val="00472D49"/>
    <w:rsid w:val="00473FEF"/>
    <w:rsid w:val="004840D6"/>
    <w:rsid w:val="004943B1"/>
    <w:rsid w:val="004952DD"/>
    <w:rsid w:val="00495704"/>
    <w:rsid w:val="00496B43"/>
    <w:rsid w:val="00497671"/>
    <w:rsid w:val="004A5C28"/>
    <w:rsid w:val="004A68D5"/>
    <w:rsid w:val="004A7460"/>
    <w:rsid w:val="004B0250"/>
    <w:rsid w:val="004B042E"/>
    <w:rsid w:val="004B7060"/>
    <w:rsid w:val="004B7749"/>
    <w:rsid w:val="004B7AAF"/>
    <w:rsid w:val="004C0F89"/>
    <w:rsid w:val="004C7693"/>
    <w:rsid w:val="004D5FE1"/>
    <w:rsid w:val="004E1B28"/>
    <w:rsid w:val="004E4450"/>
    <w:rsid w:val="004F14F0"/>
    <w:rsid w:val="004F6DF2"/>
    <w:rsid w:val="004F7D86"/>
    <w:rsid w:val="00500773"/>
    <w:rsid w:val="0050257B"/>
    <w:rsid w:val="00507C72"/>
    <w:rsid w:val="00530325"/>
    <w:rsid w:val="005324CA"/>
    <w:rsid w:val="00535B8D"/>
    <w:rsid w:val="00543499"/>
    <w:rsid w:val="00545B75"/>
    <w:rsid w:val="005467CB"/>
    <w:rsid w:val="00547CC6"/>
    <w:rsid w:val="00550E51"/>
    <w:rsid w:val="0055103A"/>
    <w:rsid w:val="0055267D"/>
    <w:rsid w:val="0055333F"/>
    <w:rsid w:val="00553C7A"/>
    <w:rsid w:val="00556BC7"/>
    <w:rsid w:val="0056057D"/>
    <w:rsid w:val="00561B00"/>
    <w:rsid w:val="005622AF"/>
    <w:rsid w:val="00571417"/>
    <w:rsid w:val="00571898"/>
    <w:rsid w:val="00572446"/>
    <w:rsid w:val="005741E0"/>
    <w:rsid w:val="00577CC9"/>
    <w:rsid w:val="00582FAD"/>
    <w:rsid w:val="005832A4"/>
    <w:rsid w:val="00583918"/>
    <w:rsid w:val="00584117"/>
    <w:rsid w:val="00587665"/>
    <w:rsid w:val="005A0CEB"/>
    <w:rsid w:val="005A49A9"/>
    <w:rsid w:val="005A5F6D"/>
    <w:rsid w:val="005B2E17"/>
    <w:rsid w:val="005C081B"/>
    <w:rsid w:val="005C0DBA"/>
    <w:rsid w:val="005C4794"/>
    <w:rsid w:val="005C5AC9"/>
    <w:rsid w:val="005C6B07"/>
    <w:rsid w:val="005C7A41"/>
    <w:rsid w:val="005D11FE"/>
    <w:rsid w:val="005D628C"/>
    <w:rsid w:val="005D62FF"/>
    <w:rsid w:val="005E2C69"/>
    <w:rsid w:val="005E3A5C"/>
    <w:rsid w:val="005E5BF4"/>
    <w:rsid w:val="005E6DE8"/>
    <w:rsid w:val="005F0587"/>
    <w:rsid w:val="005F1161"/>
    <w:rsid w:val="005F17BD"/>
    <w:rsid w:val="00600156"/>
    <w:rsid w:val="00601966"/>
    <w:rsid w:val="006152C7"/>
    <w:rsid w:val="00615A07"/>
    <w:rsid w:val="006173D8"/>
    <w:rsid w:val="00621F10"/>
    <w:rsid w:val="006269D8"/>
    <w:rsid w:val="0063278E"/>
    <w:rsid w:val="006344DD"/>
    <w:rsid w:val="00642E3C"/>
    <w:rsid w:val="006453BC"/>
    <w:rsid w:val="00645526"/>
    <w:rsid w:val="00645882"/>
    <w:rsid w:val="006503A9"/>
    <w:rsid w:val="00651304"/>
    <w:rsid w:val="00651A46"/>
    <w:rsid w:val="00652751"/>
    <w:rsid w:val="00657F26"/>
    <w:rsid w:val="0066406F"/>
    <w:rsid w:val="00664BA2"/>
    <w:rsid w:val="00664EE1"/>
    <w:rsid w:val="00671876"/>
    <w:rsid w:val="00672068"/>
    <w:rsid w:val="00677C32"/>
    <w:rsid w:val="006935F4"/>
    <w:rsid w:val="00694A8A"/>
    <w:rsid w:val="006B045D"/>
    <w:rsid w:val="006B05E4"/>
    <w:rsid w:val="006B73AC"/>
    <w:rsid w:val="006C5D63"/>
    <w:rsid w:val="006C6F37"/>
    <w:rsid w:val="006D6BA6"/>
    <w:rsid w:val="006E1410"/>
    <w:rsid w:val="006E1535"/>
    <w:rsid w:val="006E2266"/>
    <w:rsid w:val="006E3257"/>
    <w:rsid w:val="006F1272"/>
    <w:rsid w:val="006F36C5"/>
    <w:rsid w:val="006F754B"/>
    <w:rsid w:val="00703BD9"/>
    <w:rsid w:val="00703CC2"/>
    <w:rsid w:val="00707A94"/>
    <w:rsid w:val="00714EAC"/>
    <w:rsid w:val="00716DD6"/>
    <w:rsid w:val="00716DFF"/>
    <w:rsid w:val="007229E8"/>
    <w:rsid w:val="007233A9"/>
    <w:rsid w:val="00730F16"/>
    <w:rsid w:val="00731F5C"/>
    <w:rsid w:val="00732D0E"/>
    <w:rsid w:val="00733847"/>
    <w:rsid w:val="00733F97"/>
    <w:rsid w:val="00734C5F"/>
    <w:rsid w:val="0073703E"/>
    <w:rsid w:val="0074147C"/>
    <w:rsid w:val="00741737"/>
    <w:rsid w:val="007420D8"/>
    <w:rsid w:val="007448F3"/>
    <w:rsid w:val="00744BBB"/>
    <w:rsid w:val="007469D7"/>
    <w:rsid w:val="007475C1"/>
    <w:rsid w:val="00747E9E"/>
    <w:rsid w:val="007545C7"/>
    <w:rsid w:val="0075477F"/>
    <w:rsid w:val="00767067"/>
    <w:rsid w:val="0076717B"/>
    <w:rsid w:val="007764BB"/>
    <w:rsid w:val="007768A1"/>
    <w:rsid w:val="00776EDE"/>
    <w:rsid w:val="00780906"/>
    <w:rsid w:val="00786401"/>
    <w:rsid w:val="00787F13"/>
    <w:rsid w:val="00793930"/>
    <w:rsid w:val="007947F1"/>
    <w:rsid w:val="00797224"/>
    <w:rsid w:val="007978FA"/>
    <w:rsid w:val="007A09BF"/>
    <w:rsid w:val="007A1274"/>
    <w:rsid w:val="007A3274"/>
    <w:rsid w:val="007A5C98"/>
    <w:rsid w:val="007B29FB"/>
    <w:rsid w:val="007B38E3"/>
    <w:rsid w:val="007B3EDB"/>
    <w:rsid w:val="007C095B"/>
    <w:rsid w:val="007C10CD"/>
    <w:rsid w:val="007C227D"/>
    <w:rsid w:val="007C3A44"/>
    <w:rsid w:val="007C5D3E"/>
    <w:rsid w:val="007D020A"/>
    <w:rsid w:val="007D1FB2"/>
    <w:rsid w:val="007D3384"/>
    <w:rsid w:val="007D5A5F"/>
    <w:rsid w:val="007D723D"/>
    <w:rsid w:val="007E012E"/>
    <w:rsid w:val="007E04FC"/>
    <w:rsid w:val="007E157C"/>
    <w:rsid w:val="007E166F"/>
    <w:rsid w:val="007E1DEB"/>
    <w:rsid w:val="007E3FDA"/>
    <w:rsid w:val="007E4C4E"/>
    <w:rsid w:val="007E5FE5"/>
    <w:rsid w:val="007E6403"/>
    <w:rsid w:val="007F296F"/>
    <w:rsid w:val="007F2C17"/>
    <w:rsid w:val="007F3AAB"/>
    <w:rsid w:val="007F6BF4"/>
    <w:rsid w:val="007F7B09"/>
    <w:rsid w:val="00802755"/>
    <w:rsid w:val="0080277A"/>
    <w:rsid w:val="00803B7F"/>
    <w:rsid w:val="00804671"/>
    <w:rsid w:val="00807FD3"/>
    <w:rsid w:val="00810E55"/>
    <w:rsid w:val="008134D9"/>
    <w:rsid w:val="00814F9C"/>
    <w:rsid w:val="008154A0"/>
    <w:rsid w:val="00820E2D"/>
    <w:rsid w:val="00822BBA"/>
    <w:rsid w:val="00823FF6"/>
    <w:rsid w:val="008262D7"/>
    <w:rsid w:val="00826E21"/>
    <w:rsid w:val="00831377"/>
    <w:rsid w:val="00832711"/>
    <w:rsid w:val="00832C1F"/>
    <w:rsid w:val="008358F7"/>
    <w:rsid w:val="00840089"/>
    <w:rsid w:val="0084009B"/>
    <w:rsid w:val="0084179A"/>
    <w:rsid w:val="0084560F"/>
    <w:rsid w:val="00851676"/>
    <w:rsid w:val="00855967"/>
    <w:rsid w:val="008568F9"/>
    <w:rsid w:val="00856E84"/>
    <w:rsid w:val="00867E9C"/>
    <w:rsid w:val="00883200"/>
    <w:rsid w:val="00885DD4"/>
    <w:rsid w:val="00886EE7"/>
    <w:rsid w:val="00887931"/>
    <w:rsid w:val="00891DB3"/>
    <w:rsid w:val="00893AA8"/>
    <w:rsid w:val="00893E39"/>
    <w:rsid w:val="008A1766"/>
    <w:rsid w:val="008A337C"/>
    <w:rsid w:val="008A475D"/>
    <w:rsid w:val="008B0889"/>
    <w:rsid w:val="008B2F76"/>
    <w:rsid w:val="008B5C9E"/>
    <w:rsid w:val="008B6A09"/>
    <w:rsid w:val="008C6974"/>
    <w:rsid w:val="008C7DDA"/>
    <w:rsid w:val="008D2CC7"/>
    <w:rsid w:val="008D612E"/>
    <w:rsid w:val="008E1ABD"/>
    <w:rsid w:val="008E534A"/>
    <w:rsid w:val="008E5CC5"/>
    <w:rsid w:val="008E7E97"/>
    <w:rsid w:val="008F0004"/>
    <w:rsid w:val="008F06B0"/>
    <w:rsid w:val="008F0F7B"/>
    <w:rsid w:val="008F36D0"/>
    <w:rsid w:val="008F7700"/>
    <w:rsid w:val="009041BD"/>
    <w:rsid w:val="00904716"/>
    <w:rsid w:val="00904FF6"/>
    <w:rsid w:val="00905401"/>
    <w:rsid w:val="00905B70"/>
    <w:rsid w:val="009160CA"/>
    <w:rsid w:val="00920D57"/>
    <w:rsid w:val="00921BCF"/>
    <w:rsid w:val="009235E5"/>
    <w:rsid w:val="00924283"/>
    <w:rsid w:val="00924774"/>
    <w:rsid w:val="009254E2"/>
    <w:rsid w:val="00927A6D"/>
    <w:rsid w:val="00930AE6"/>
    <w:rsid w:val="00932521"/>
    <w:rsid w:val="009342E2"/>
    <w:rsid w:val="00934FE0"/>
    <w:rsid w:val="00937D7C"/>
    <w:rsid w:val="00940043"/>
    <w:rsid w:val="00943B0C"/>
    <w:rsid w:val="00943B5E"/>
    <w:rsid w:val="00945587"/>
    <w:rsid w:val="0095082E"/>
    <w:rsid w:val="009545C8"/>
    <w:rsid w:val="00961776"/>
    <w:rsid w:val="00961CAF"/>
    <w:rsid w:val="00962D5C"/>
    <w:rsid w:val="00964107"/>
    <w:rsid w:val="00967D72"/>
    <w:rsid w:val="0097166D"/>
    <w:rsid w:val="00976CE9"/>
    <w:rsid w:val="0098142A"/>
    <w:rsid w:val="00982D5B"/>
    <w:rsid w:val="009843EB"/>
    <w:rsid w:val="00993A67"/>
    <w:rsid w:val="00994DB1"/>
    <w:rsid w:val="00994E57"/>
    <w:rsid w:val="009A08BC"/>
    <w:rsid w:val="009A745F"/>
    <w:rsid w:val="009B6DB4"/>
    <w:rsid w:val="009B7AD9"/>
    <w:rsid w:val="009C0304"/>
    <w:rsid w:val="009C082C"/>
    <w:rsid w:val="009C2EBA"/>
    <w:rsid w:val="009C316A"/>
    <w:rsid w:val="009C449B"/>
    <w:rsid w:val="009C53EA"/>
    <w:rsid w:val="009C733B"/>
    <w:rsid w:val="009D092C"/>
    <w:rsid w:val="009D2B6B"/>
    <w:rsid w:val="009D33AD"/>
    <w:rsid w:val="009D7AC8"/>
    <w:rsid w:val="009D7C08"/>
    <w:rsid w:val="009E03A0"/>
    <w:rsid w:val="009E2D83"/>
    <w:rsid w:val="009E4530"/>
    <w:rsid w:val="009E5F70"/>
    <w:rsid w:val="009F2513"/>
    <w:rsid w:val="009F3CB4"/>
    <w:rsid w:val="009F59C3"/>
    <w:rsid w:val="009F63DE"/>
    <w:rsid w:val="009F695D"/>
    <w:rsid w:val="009F72B0"/>
    <w:rsid w:val="009F79A6"/>
    <w:rsid w:val="00A002CC"/>
    <w:rsid w:val="00A012D4"/>
    <w:rsid w:val="00A02A6B"/>
    <w:rsid w:val="00A02B2D"/>
    <w:rsid w:val="00A04E6B"/>
    <w:rsid w:val="00A0702C"/>
    <w:rsid w:val="00A11DFA"/>
    <w:rsid w:val="00A139A1"/>
    <w:rsid w:val="00A15ABA"/>
    <w:rsid w:val="00A20D39"/>
    <w:rsid w:val="00A239D6"/>
    <w:rsid w:val="00A254CA"/>
    <w:rsid w:val="00A26172"/>
    <w:rsid w:val="00A2757E"/>
    <w:rsid w:val="00A339DA"/>
    <w:rsid w:val="00A341CB"/>
    <w:rsid w:val="00A37098"/>
    <w:rsid w:val="00A4018A"/>
    <w:rsid w:val="00A4162E"/>
    <w:rsid w:val="00A42F78"/>
    <w:rsid w:val="00A51B44"/>
    <w:rsid w:val="00A55EA4"/>
    <w:rsid w:val="00A562A2"/>
    <w:rsid w:val="00A5676D"/>
    <w:rsid w:val="00A611BB"/>
    <w:rsid w:val="00A63817"/>
    <w:rsid w:val="00A64068"/>
    <w:rsid w:val="00A651E9"/>
    <w:rsid w:val="00A658AD"/>
    <w:rsid w:val="00A659A4"/>
    <w:rsid w:val="00A66891"/>
    <w:rsid w:val="00A67337"/>
    <w:rsid w:val="00A72B3E"/>
    <w:rsid w:val="00A7762E"/>
    <w:rsid w:val="00A81C02"/>
    <w:rsid w:val="00A85CA1"/>
    <w:rsid w:val="00A86479"/>
    <w:rsid w:val="00A918B9"/>
    <w:rsid w:val="00A93CAC"/>
    <w:rsid w:val="00A940EE"/>
    <w:rsid w:val="00A95398"/>
    <w:rsid w:val="00A96AD6"/>
    <w:rsid w:val="00A96EAF"/>
    <w:rsid w:val="00AA0127"/>
    <w:rsid w:val="00AA4706"/>
    <w:rsid w:val="00AA5928"/>
    <w:rsid w:val="00AA65E9"/>
    <w:rsid w:val="00AA70AC"/>
    <w:rsid w:val="00AA7556"/>
    <w:rsid w:val="00AA7B4D"/>
    <w:rsid w:val="00AB1F58"/>
    <w:rsid w:val="00AB48EF"/>
    <w:rsid w:val="00AC16A4"/>
    <w:rsid w:val="00AC29DE"/>
    <w:rsid w:val="00AD13F7"/>
    <w:rsid w:val="00AD404E"/>
    <w:rsid w:val="00AD6CFB"/>
    <w:rsid w:val="00AD6F2B"/>
    <w:rsid w:val="00AE1066"/>
    <w:rsid w:val="00AE11E9"/>
    <w:rsid w:val="00AE28F5"/>
    <w:rsid w:val="00AE3F70"/>
    <w:rsid w:val="00AF1905"/>
    <w:rsid w:val="00AF59AE"/>
    <w:rsid w:val="00AF5B15"/>
    <w:rsid w:val="00B033C9"/>
    <w:rsid w:val="00B039CF"/>
    <w:rsid w:val="00B10F3B"/>
    <w:rsid w:val="00B113D1"/>
    <w:rsid w:val="00B16780"/>
    <w:rsid w:val="00B24972"/>
    <w:rsid w:val="00B25315"/>
    <w:rsid w:val="00B27855"/>
    <w:rsid w:val="00B32B05"/>
    <w:rsid w:val="00B363C8"/>
    <w:rsid w:val="00B4085C"/>
    <w:rsid w:val="00B413D5"/>
    <w:rsid w:val="00B427B8"/>
    <w:rsid w:val="00B475FA"/>
    <w:rsid w:val="00B5135D"/>
    <w:rsid w:val="00B57D94"/>
    <w:rsid w:val="00B63F04"/>
    <w:rsid w:val="00B65A48"/>
    <w:rsid w:val="00B72456"/>
    <w:rsid w:val="00B735D0"/>
    <w:rsid w:val="00B73F2C"/>
    <w:rsid w:val="00B82BC9"/>
    <w:rsid w:val="00B82F8E"/>
    <w:rsid w:val="00B91C17"/>
    <w:rsid w:val="00B91C34"/>
    <w:rsid w:val="00B92C86"/>
    <w:rsid w:val="00B9522A"/>
    <w:rsid w:val="00B970E8"/>
    <w:rsid w:val="00BA0D41"/>
    <w:rsid w:val="00BA0F47"/>
    <w:rsid w:val="00BB2CA8"/>
    <w:rsid w:val="00BB3D4A"/>
    <w:rsid w:val="00BB4B09"/>
    <w:rsid w:val="00BB509C"/>
    <w:rsid w:val="00BB69C3"/>
    <w:rsid w:val="00BB7131"/>
    <w:rsid w:val="00BB748C"/>
    <w:rsid w:val="00BC01B7"/>
    <w:rsid w:val="00BC37DE"/>
    <w:rsid w:val="00BC3BFD"/>
    <w:rsid w:val="00BD0E97"/>
    <w:rsid w:val="00BD38C6"/>
    <w:rsid w:val="00BD737D"/>
    <w:rsid w:val="00BD77B3"/>
    <w:rsid w:val="00BF20D6"/>
    <w:rsid w:val="00BF28CF"/>
    <w:rsid w:val="00BF45F8"/>
    <w:rsid w:val="00BF4907"/>
    <w:rsid w:val="00C001C0"/>
    <w:rsid w:val="00C003BD"/>
    <w:rsid w:val="00C02477"/>
    <w:rsid w:val="00C055F4"/>
    <w:rsid w:val="00C05828"/>
    <w:rsid w:val="00C10A00"/>
    <w:rsid w:val="00C12AF1"/>
    <w:rsid w:val="00C13CBA"/>
    <w:rsid w:val="00C144DB"/>
    <w:rsid w:val="00C161DA"/>
    <w:rsid w:val="00C21E08"/>
    <w:rsid w:val="00C247E0"/>
    <w:rsid w:val="00C24A6E"/>
    <w:rsid w:val="00C265E4"/>
    <w:rsid w:val="00C27DE9"/>
    <w:rsid w:val="00C32D61"/>
    <w:rsid w:val="00C33CD0"/>
    <w:rsid w:val="00C34BE7"/>
    <w:rsid w:val="00C35021"/>
    <w:rsid w:val="00C4006A"/>
    <w:rsid w:val="00C409B8"/>
    <w:rsid w:val="00C4339E"/>
    <w:rsid w:val="00C454C2"/>
    <w:rsid w:val="00C45551"/>
    <w:rsid w:val="00C469AD"/>
    <w:rsid w:val="00C46CEC"/>
    <w:rsid w:val="00C4779E"/>
    <w:rsid w:val="00C55543"/>
    <w:rsid w:val="00C56080"/>
    <w:rsid w:val="00C61339"/>
    <w:rsid w:val="00C62D6D"/>
    <w:rsid w:val="00C6323D"/>
    <w:rsid w:val="00C64903"/>
    <w:rsid w:val="00C74592"/>
    <w:rsid w:val="00C75941"/>
    <w:rsid w:val="00C76129"/>
    <w:rsid w:val="00C82EDF"/>
    <w:rsid w:val="00C906BC"/>
    <w:rsid w:val="00C90964"/>
    <w:rsid w:val="00CA2D7B"/>
    <w:rsid w:val="00CA55F0"/>
    <w:rsid w:val="00CB0AE5"/>
    <w:rsid w:val="00CB1AF6"/>
    <w:rsid w:val="00CB1BD5"/>
    <w:rsid w:val="00CB1C25"/>
    <w:rsid w:val="00CB25C8"/>
    <w:rsid w:val="00CB4D13"/>
    <w:rsid w:val="00CB581E"/>
    <w:rsid w:val="00CB627D"/>
    <w:rsid w:val="00CC49AD"/>
    <w:rsid w:val="00CD2AD8"/>
    <w:rsid w:val="00CD4C01"/>
    <w:rsid w:val="00CD4C07"/>
    <w:rsid w:val="00CE448B"/>
    <w:rsid w:val="00CE7745"/>
    <w:rsid w:val="00CE7D06"/>
    <w:rsid w:val="00CF4C23"/>
    <w:rsid w:val="00CF60A9"/>
    <w:rsid w:val="00D01A2B"/>
    <w:rsid w:val="00D02E86"/>
    <w:rsid w:val="00D06C04"/>
    <w:rsid w:val="00D11BFC"/>
    <w:rsid w:val="00D128AE"/>
    <w:rsid w:val="00D13573"/>
    <w:rsid w:val="00D1679C"/>
    <w:rsid w:val="00D22408"/>
    <w:rsid w:val="00D22CD1"/>
    <w:rsid w:val="00D30BAE"/>
    <w:rsid w:val="00D32543"/>
    <w:rsid w:val="00D33799"/>
    <w:rsid w:val="00D34328"/>
    <w:rsid w:val="00D409F4"/>
    <w:rsid w:val="00D43F67"/>
    <w:rsid w:val="00D460FB"/>
    <w:rsid w:val="00D46593"/>
    <w:rsid w:val="00D4694A"/>
    <w:rsid w:val="00D47978"/>
    <w:rsid w:val="00D55621"/>
    <w:rsid w:val="00D5652A"/>
    <w:rsid w:val="00D56611"/>
    <w:rsid w:val="00D57F20"/>
    <w:rsid w:val="00D63B38"/>
    <w:rsid w:val="00D63B6E"/>
    <w:rsid w:val="00D65D07"/>
    <w:rsid w:val="00D66B60"/>
    <w:rsid w:val="00D67948"/>
    <w:rsid w:val="00D770AA"/>
    <w:rsid w:val="00D77344"/>
    <w:rsid w:val="00D8003B"/>
    <w:rsid w:val="00D80D8F"/>
    <w:rsid w:val="00D83E48"/>
    <w:rsid w:val="00D84187"/>
    <w:rsid w:val="00D92173"/>
    <w:rsid w:val="00D92F3B"/>
    <w:rsid w:val="00D94B15"/>
    <w:rsid w:val="00DA1FD0"/>
    <w:rsid w:val="00DB6479"/>
    <w:rsid w:val="00DC02A2"/>
    <w:rsid w:val="00DC2101"/>
    <w:rsid w:val="00DC358E"/>
    <w:rsid w:val="00DC36BC"/>
    <w:rsid w:val="00DC6E8E"/>
    <w:rsid w:val="00DC79BC"/>
    <w:rsid w:val="00DD197D"/>
    <w:rsid w:val="00DD246E"/>
    <w:rsid w:val="00DD45A9"/>
    <w:rsid w:val="00DE2560"/>
    <w:rsid w:val="00DE25D1"/>
    <w:rsid w:val="00DE26C1"/>
    <w:rsid w:val="00DE377D"/>
    <w:rsid w:val="00DE59C0"/>
    <w:rsid w:val="00DF3B5D"/>
    <w:rsid w:val="00DF3E47"/>
    <w:rsid w:val="00DF6143"/>
    <w:rsid w:val="00DF7C90"/>
    <w:rsid w:val="00E00F64"/>
    <w:rsid w:val="00E05368"/>
    <w:rsid w:val="00E07791"/>
    <w:rsid w:val="00E1131C"/>
    <w:rsid w:val="00E1712F"/>
    <w:rsid w:val="00E23DA9"/>
    <w:rsid w:val="00E24218"/>
    <w:rsid w:val="00E24A87"/>
    <w:rsid w:val="00E25A84"/>
    <w:rsid w:val="00E25D4E"/>
    <w:rsid w:val="00E35765"/>
    <w:rsid w:val="00E403C7"/>
    <w:rsid w:val="00E460B4"/>
    <w:rsid w:val="00E50209"/>
    <w:rsid w:val="00E50C79"/>
    <w:rsid w:val="00E513C2"/>
    <w:rsid w:val="00E52083"/>
    <w:rsid w:val="00E60A37"/>
    <w:rsid w:val="00E61C80"/>
    <w:rsid w:val="00E61FAC"/>
    <w:rsid w:val="00E71F6B"/>
    <w:rsid w:val="00E72251"/>
    <w:rsid w:val="00E729B2"/>
    <w:rsid w:val="00E766C3"/>
    <w:rsid w:val="00E851BE"/>
    <w:rsid w:val="00E964E6"/>
    <w:rsid w:val="00E9669A"/>
    <w:rsid w:val="00EA225B"/>
    <w:rsid w:val="00EA772D"/>
    <w:rsid w:val="00EB0007"/>
    <w:rsid w:val="00EB0293"/>
    <w:rsid w:val="00EB0C2C"/>
    <w:rsid w:val="00EB192B"/>
    <w:rsid w:val="00EB38E8"/>
    <w:rsid w:val="00EB5332"/>
    <w:rsid w:val="00EB7344"/>
    <w:rsid w:val="00EC110D"/>
    <w:rsid w:val="00EC6336"/>
    <w:rsid w:val="00ED0E8D"/>
    <w:rsid w:val="00ED530C"/>
    <w:rsid w:val="00ED5B4F"/>
    <w:rsid w:val="00ED6BBF"/>
    <w:rsid w:val="00ED7E13"/>
    <w:rsid w:val="00EE04DA"/>
    <w:rsid w:val="00EE3C53"/>
    <w:rsid w:val="00EE51DA"/>
    <w:rsid w:val="00EE6100"/>
    <w:rsid w:val="00EF3754"/>
    <w:rsid w:val="00EF37CA"/>
    <w:rsid w:val="00EF7ED2"/>
    <w:rsid w:val="00F02CBF"/>
    <w:rsid w:val="00F02D49"/>
    <w:rsid w:val="00F03DA7"/>
    <w:rsid w:val="00F046DA"/>
    <w:rsid w:val="00F048D5"/>
    <w:rsid w:val="00F070BF"/>
    <w:rsid w:val="00F12B21"/>
    <w:rsid w:val="00F14760"/>
    <w:rsid w:val="00F14F87"/>
    <w:rsid w:val="00F213AE"/>
    <w:rsid w:val="00F223D6"/>
    <w:rsid w:val="00F24930"/>
    <w:rsid w:val="00F2576A"/>
    <w:rsid w:val="00F2751F"/>
    <w:rsid w:val="00F2788C"/>
    <w:rsid w:val="00F32E60"/>
    <w:rsid w:val="00F34728"/>
    <w:rsid w:val="00F42A46"/>
    <w:rsid w:val="00F44654"/>
    <w:rsid w:val="00F51419"/>
    <w:rsid w:val="00F52A92"/>
    <w:rsid w:val="00F5378A"/>
    <w:rsid w:val="00F5398D"/>
    <w:rsid w:val="00F5578E"/>
    <w:rsid w:val="00F5589A"/>
    <w:rsid w:val="00F63A2F"/>
    <w:rsid w:val="00F64DC6"/>
    <w:rsid w:val="00F66326"/>
    <w:rsid w:val="00F71514"/>
    <w:rsid w:val="00F73BAA"/>
    <w:rsid w:val="00F8007B"/>
    <w:rsid w:val="00F876EB"/>
    <w:rsid w:val="00F91395"/>
    <w:rsid w:val="00F97B2D"/>
    <w:rsid w:val="00FA3841"/>
    <w:rsid w:val="00FA582C"/>
    <w:rsid w:val="00FB22BF"/>
    <w:rsid w:val="00FB24C2"/>
    <w:rsid w:val="00FB4F7D"/>
    <w:rsid w:val="00FC0243"/>
    <w:rsid w:val="00FC071C"/>
    <w:rsid w:val="00FC24E5"/>
    <w:rsid w:val="00FC363B"/>
    <w:rsid w:val="00FC4783"/>
    <w:rsid w:val="00FD12D8"/>
    <w:rsid w:val="00FD1C1D"/>
    <w:rsid w:val="00FD3AAD"/>
    <w:rsid w:val="00FD47B4"/>
    <w:rsid w:val="00FD51CD"/>
    <w:rsid w:val="00FD534F"/>
    <w:rsid w:val="00FE3583"/>
    <w:rsid w:val="00FE4B81"/>
    <w:rsid w:val="00FF127A"/>
    <w:rsid w:val="00FF29E7"/>
    <w:rsid w:val="00FF32B0"/>
    <w:rsid w:val="00FF369E"/>
    <w:rsid w:val="00FF6FE2"/>
    <w:rsid w:val="01002678"/>
    <w:rsid w:val="01BB1B90"/>
    <w:rsid w:val="0357423A"/>
    <w:rsid w:val="04040843"/>
    <w:rsid w:val="04F532E4"/>
    <w:rsid w:val="050B668C"/>
    <w:rsid w:val="05160A26"/>
    <w:rsid w:val="05A708E3"/>
    <w:rsid w:val="05EF0E4C"/>
    <w:rsid w:val="062C627F"/>
    <w:rsid w:val="06F24750"/>
    <w:rsid w:val="07852A45"/>
    <w:rsid w:val="08166439"/>
    <w:rsid w:val="088771F6"/>
    <w:rsid w:val="09842961"/>
    <w:rsid w:val="0A11651F"/>
    <w:rsid w:val="0B7B07E8"/>
    <w:rsid w:val="0B9E3157"/>
    <w:rsid w:val="0BF002FA"/>
    <w:rsid w:val="0CB754D6"/>
    <w:rsid w:val="0CCA67C0"/>
    <w:rsid w:val="0D477973"/>
    <w:rsid w:val="0D561518"/>
    <w:rsid w:val="0DA770F4"/>
    <w:rsid w:val="0DDE6C7A"/>
    <w:rsid w:val="0EBD28D6"/>
    <w:rsid w:val="0F19465C"/>
    <w:rsid w:val="0FEE7355"/>
    <w:rsid w:val="11336B8B"/>
    <w:rsid w:val="118443AE"/>
    <w:rsid w:val="11B5058F"/>
    <w:rsid w:val="11D92230"/>
    <w:rsid w:val="12AB5A42"/>
    <w:rsid w:val="12D87D4F"/>
    <w:rsid w:val="147A636F"/>
    <w:rsid w:val="14A95C11"/>
    <w:rsid w:val="15782C7E"/>
    <w:rsid w:val="15902DB4"/>
    <w:rsid w:val="15915971"/>
    <w:rsid w:val="15FC6D54"/>
    <w:rsid w:val="160839E3"/>
    <w:rsid w:val="160F2EF4"/>
    <w:rsid w:val="168A2E4A"/>
    <w:rsid w:val="170B42AE"/>
    <w:rsid w:val="1812204D"/>
    <w:rsid w:val="182867BE"/>
    <w:rsid w:val="18523889"/>
    <w:rsid w:val="18941F78"/>
    <w:rsid w:val="18E67F66"/>
    <w:rsid w:val="19C203AA"/>
    <w:rsid w:val="19EB46AD"/>
    <w:rsid w:val="1A07314F"/>
    <w:rsid w:val="1A143C27"/>
    <w:rsid w:val="1A4A64AD"/>
    <w:rsid w:val="1ACC5F94"/>
    <w:rsid w:val="1BBF3C13"/>
    <w:rsid w:val="1C6C177F"/>
    <w:rsid w:val="1CEF0D86"/>
    <w:rsid w:val="1E605764"/>
    <w:rsid w:val="1ED35E52"/>
    <w:rsid w:val="1F326319"/>
    <w:rsid w:val="1F337736"/>
    <w:rsid w:val="1F3519C7"/>
    <w:rsid w:val="1F644744"/>
    <w:rsid w:val="1FD128F4"/>
    <w:rsid w:val="20263FDD"/>
    <w:rsid w:val="20B50445"/>
    <w:rsid w:val="20EB0691"/>
    <w:rsid w:val="21440B7A"/>
    <w:rsid w:val="22937D89"/>
    <w:rsid w:val="22B56758"/>
    <w:rsid w:val="22E03E0A"/>
    <w:rsid w:val="23403395"/>
    <w:rsid w:val="234A7F6B"/>
    <w:rsid w:val="23F031C9"/>
    <w:rsid w:val="243E32C2"/>
    <w:rsid w:val="25174E41"/>
    <w:rsid w:val="256972AA"/>
    <w:rsid w:val="25AB1A79"/>
    <w:rsid w:val="27950FB5"/>
    <w:rsid w:val="28927479"/>
    <w:rsid w:val="28D7016F"/>
    <w:rsid w:val="28FD4CC9"/>
    <w:rsid w:val="29DB0625"/>
    <w:rsid w:val="2A355E7E"/>
    <w:rsid w:val="2A5B32EA"/>
    <w:rsid w:val="2A800CEA"/>
    <w:rsid w:val="2B8A3541"/>
    <w:rsid w:val="2C4320AD"/>
    <w:rsid w:val="2D9E48E8"/>
    <w:rsid w:val="2D9F29B4"/>
    <w:rsid w:val="2EC37384"/>
    <w:rsid w:val="2FA539B8"/>
    <w:rsid w:val="2FA837EF"/>
    <w:rsid w:val="2FBB0A9A"/>
    <w:rsid w:val="2FE933B3"/>
    <w:rsid w:val="2FF27970"/>
    <w:rsid w:val="2FF418E7"/>
    <w:rsid w:val="30483416"/>
    <w:rsid w:val="305C0286"/>
    <w:rsid w:val="31876D63"/>
    <w:rsid w:val="321A0DA3"/>
    <w:rsid w:val="323E39C7"/>
    <w:rsid w:val="327F1123"/>
    <w:rsid w:val="342B281C"/>
    <w:rsid w:val="345B5664"/>
    <w:rsid w:val="345F0910"/>
    <w:rsid w:val="35CB4E04"/>
    <w:rsid w:val="35DD2C66"/>
    <w:rsid w:val="361E2C1F"/>
    <w:rsid w:val="36F21B1E"/>
    <w:rsid w:val="372A7026"/>
    <w:rsid w:val="379B05EC"/>
    <w:rsid w:val="38463968"/>
    <w:rsid w:val="38641B0F"/>
    <w:rsid w:val="39204CA1"/>
    <w:rsid w:val="394A28F1"/>
    <w:rsid w:val="3AF56409"/>
    <w:rsid w:val="3B0C3FED"/>
    <w:rsid w:val="3BC82243"/>
    <w:rsid w:val="3CBA425A"/>
    <w:rsid w:val="3D4B29C5"/>
    <w:rsid w:val="3D94540A"/>
    <w:rsid w:val="3E401509"/>
    <w:rsid w:val="3F040C13"/>
    <w:rsid w:val="40633811"/>
    <w:rsid w:val="40E7461E"/>
    <w:rsid w:val="413775B0"/>
    <w:rsid w:val="42AB3941"/>
    <w:rsid w:val="42C30F47"/>
    <w:rsid w:val="42C67EC7"/>
    <w:rsid w:val="43520F9F"/>
    <w:rsid w:val="43637296"/>
    <w:rsid w:val="457819D7"/>
    <w:rsid w:val="45A0469A"/>
    <w:rsid w:val="45FA74F2"/>
    <w:rsid w:val="462861CF"/>
    <w:rsid w:val="46752F28"/>
    <w:rsid w:val="469C658E"/>
    <w:rsid w:val="47C86159"/>
    <w:rsid w:val="47FD447C"/>
    <w:rsid w:val="48215114"/>
    <w:rsid w:val="48276825"/>
    <w:rsid w:val="48403234"/>
    <w:rsid w:val="48450C39"/>
    <w:rsid w:val="4850341A"/>
    <w:rsid w:val="491D5404"/>
    <w:rsid w:val="4A41430B"/>
    <w:rsid w:val="4BBB0BE9"/>
    <w:rsid w:val="4D4D3CB2"/>
    <w:rsid w:val="4D842D3A"/>
    <w:rsid w:val="4DDD02DC"/>
    <w:rsid w:val="4E2B44E3"/>
    <w:rsid w:val="4E650DC9"/>
    <w:rsid w:val="4F6F4B51"/>
    <w:rsid w:val="508474A8"/>
    <w:rsid w:val="50A32828"/>
    <w:rsid w:val="50CF73BC"/>
    <w:rsid w:val="51280932"/>
    <w:rsid w:val="514D6509"/>
    <w:rsid w:val="517462F5"/>
    <w:rsid w:val="51B87EF8"/>
    <w:rsid w:val="524F58D9"/>
    <w:rsid w:val="52B670A9"/>
    <w:rsid w:val="52FD455E"/>
    <w:rsid w:val="53D6608D"/>
    <w:rsid w:val="54010530"/>
    <w:rsid w:val="555739DF"/>
    <w:rsid w:val="55B164AD"/>
    <w:rsid w:val="55C81BB7"/>
    <w:rsid w:val="55D81588"/>
    <w:rsid w:val="561C3A3F"/>
    <w:rsid w:val="562A39A6"/>
    <w:rsid w:val="565F6940"/>
    <w:rsid w:val="574C76A5"/>
    <w:rsid w:val="57A556A6"/>
    <w:rsid w:val="59100865"/>
    <w:rsid w:val="5A095AB5"/>
    <w:rsid w:val="5AF60A5A"/>
    <w:rsid w:val="5B032756"/>
    <w:rsid w:val="5B6A0943"/>
    <w:rsid w:val="5BA60B0D"/>
    <w:rsid w:val="5BFE1967"/>
    <w:rsid w:val="5CA06B9B"/>
    <w:rsid w:val="5D491032"/>
    <w:rsid w:val="5D550866"/>
    <w:rsid w:val="5D926A59"/>
    <w:rsid w:val="5D9B0B63"/>
    <w:rsid w:val="5E0E085B"/>
    <w:rsid w:val="5E3A22D5"/>
    <w:rsid w:val="5F3018F4"/>
    <w:rsid w:val="5F971568"/>
    <w:rsid w:val="60822B6A"/>
    <w:rsid w:val="616E2C9D"/>
    <w:rsid w:val="63460538"/>
    <w:rsid w:val="634F4AF1"/>
    <w:rsid w:val="635C139E"/>
    <w:rsid w:val="64521136"/>
    <w:rsid w:val="651D3DBE"/>
    <w:rsid w:val="65B07941"/>
    <w:rsid w:val="65D529C9"/>
    <w:rsid w:val="661362E3"/>
    <w:rsid w:val="661865DF"/>
    <w:rsid w:val="669464D7"/>
    <w:rsid w:val="66F07FD1"/>
    <w:rsid w:val="67426E49"/>
    <w:rsid w:val="6744203C"/>
    <w:rsid w:val="676F3F7F"/>
    <w:rsid w:val="6794411C"/>
    <w:rsid w:val="67E427A5"/>
    <w:rsid w:val="68CB2D94"/>
    <w:rsid w:val="699018D3"/>
    <w:rsid w:val="69CE27E1"/>
    <w:rsid w:val="69E50CDA"/>
    <w:rsid w:val="69F06925"/>
    <w:rsid w:val="6AD64725"/>
    <w:rsid w:val="6AE90467"/>
    <w:rsid w:val="6B1F203D"/>
    <w:rsid w:val="6B236656"/>
    <w:rsid w:val="6B570828"/>
    <w:rsid w:val="6B61182A"/>
    <w:rsid w:val="6D1862E0"/>
    <w:rsid w:val="6D283DD3"/>
    <w:rsid w:val="6D6558B3"/>
    <w:rsid w:val="6D762F0F"/>
    <w:rsid w:val="6DF8703C"/>
    <w:rsid w:val="6E1966BE"/>
    <w:rsid w:val="6E736163"/>
    <w:rsid w:val="725772F9"/>
    <w:rsid w:val="7358145B"/>
    <w:rsid w:val="74415EE0"/>
    <w:rsid w:val="74932B83"/>
    <w:rsid w:val="74FD46D9"/>
    <w:rsid w:val="74FE681D"/>
    <w:rsid w:val="7541307B"/>
    <w:rsid w:val="75F07F55"/>
    <w:rsid w:val="76150EDB"/>
    <w:rsid w:val="76E25A80"/>
    <w:rsid w:val="77A552B4"/>
    <w:rsid w:val="78102198"/>
    <w:rsid w:val="783A644A"/>
    <w:rsid w:val="78855F37"/>
    <w:rsid w:val="78BF3420"/>
    <w:rsid w:val="78CA7DC1"/>
    <w:rsid w:val="793979B4"/>
    <w:rsid w:val="7A177D2A"/>
    <w:rsid w:val="7A193EA0"/>
    <w:rsid w:val="7A5371D8"/>
    <w:rsid w:val="7AFC2853"/>
    <w:rsid w:val="7C8906FD"/>
    <w:rsid w:val="7CBE74F1"/>
    <w:rsid w:val="7D1C786F"/>
    <w:rsid w:val="7D4C4BA9"/>
    <w:rsid w:val="7D570103"/>
    <w:rsid w:val="7DF06CD1"/>
    <w:rsid w:val="7E165AAB"/>
    <w:rsid w:val="7F3350EE"/>
    <w:rsid w:val="7F647B2B"/>
    <w:rsid w:val="7F7A20E4"/>
    <w:rsid w:val="7F93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3"/>
    <w:basedOn w:val="1"/>
    <w:next w:val="1"/>
    <w:qFormat/>
    <w:uiPriority w:val="0"/>
    <w:pPr>
      <w:spacing w:before="200" w:line="271" w:lineRule="auto"/>
    </w:pPr>
    <w:rPr>
      <w:rFonts w:ascii="Cambria" w:hAnsi="Cambria" w:cs="Cambri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7">
    <w:name w:val="Date"/>
    <w:basedOn w:val="1"/>
    <w:next w:val="1"/>
    <w:link w:val="25"/>
    <w:qFormat/>
    <w:uiPriority w:val="0"/>
    <w:pPr>
      <w:ind w:left="100" w:leftChars="2500"/>
    </w:p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10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1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14">
    <w:name w:val="page number"/>
    <w:basedOn w:val="13"/>
    <w:qFormat/>
    <w:uiPriority w:val="0"/>
  </w:style>
  <w:style w:type="character" w:styleId="15">
    <w:name w:val="FollowedHyperlink"/>
    <w:qFormat/>
    <w:uiPriority w:val="0"/>
    <w:rPr>
      <w:color w:val="333333"/>
      <w:u w:val="none"/>
    </w:rPr>
  </w:style>
  <w:style w:type="character" w:styleId="16">
    <w:name w:val="Hyperlink"/>
    <w:qFormat/>
    <w:uiPriority w:val="0"/>
    <w:rPr>
      <w:color w:val="333333"/>
      <w:u w:val="none"/>
    </w:rPr>
  </w:style>
  <w:style w:type="character" w:customStyle="1" w:styleId="17">
    <w:name w:val="页眉 Char"/>
    <w:link w:val="10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页脚 Char"/>
    <w:link w:val="9"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19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paragraph" w:customStyle="1" w:styleId="20">
    <w:name w:val="Revision"/>
    <w:unhideWhenUsed/>
    <w:qFormat/>
    <w:uiPriority w:val="99"/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customStyle="1" w:styleId="21">
    <w:name w:val="闻政页码"/>
    <w:qFormat/>
    <w:uiPriority w:val="6"/>
    <w:pPr>
      <w:jc w:val="center"/>
    </w:pPr>
    <w:rPr>
      <w:rFonts w:ascii="Times New Roman" w:hAnsi="Times New Roman" w:eastAsia="Times New Roman" w:cs="Times New Roman"/>
      <w:sz w:val="21"/>
      <w:szCs w:val="28"/>
      <w:lang w:val="en-US" w:eastAsia="zh-CN" w:bidi="ar-SA"/>
    </w:rPr>
  </w:style>
  <w:style w:type="character" w:customStyle="1" w:styleId="22">
    <w:name w:val="标题 1 Char"/>
    <w:link w:val="3"/>
    <w:qFormat/>
    <w:uiPriority w:val="0"/>
    <w:rPr>
      <w:rFonts w:eastAsia="仿宋_GB2312"/>
      <w:b/>
      <w:bCs/>
      <w:kern w:val="44"/>
      <w:sz w:val="44"/>
      <w:szCs w:val="44"/>
    </w:rPr>
  </w:style>
  <w:style w:type="paragraph" w:customStyle="1" w:styleId="23">
    <w:name w:val="闻政正文"/>
    <w:basedOn w:val="1"/>
    <w:link w:val="24"/>
    <w:qFormat/>
    <w:uiPriority w:val="0"/>
    <w:pPr>
      <w:spacing w:line="500" w:lineRule="exact"/>
      <w:ind w:firstLine="200" w:firstLineChars="200"/>
    </w:pPr>
    <w:rPr>
      <w:kern w:val="0"/>
      <w:sz w:val="28"/>
      <w:szCs w:val="28"/>
      <w:lang w:val="zh-CN"/>
    </w:rPr>
  </w:style>
  <w:style w:type="character" w:customStyle="1" w:styleId="24">
    <w:name w:val="闻政正文 Char"/>
    <w:link w:val="23"/>
    <w:qFormat/>
    <w:uiPriority w:val="0"/>
    <w:rPr>
      <w:rFonts w:eastAsia="仿宋_GB2312"/>
      <w:sz w:val="28"/>
      <w:szCs w:val="28"/>
      <w:lang w:val="zh-CN"/>
    </w:rPr>
  </w:style>
  <w:style w:type="character" w:customStyle="1" w:styleId="25">
    <w:name w:val="日期 Char"/>
    <w:basedOn w:val="13"/>
    <w:link w:val="7"/>
    <w:qFormat/>
    <w:uiPriority w:val="0"/>
    <w:rPr>
      <w:rFonts w:eastAsia="仿宋_GB2312"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4525</Words>
  <Characters>4770</Characters>
  <Lines>18</Lines>
  <Paragraphs>5</Paragraphs>
  <TotalTime>0</TotalTime>
  <ScaleCrop>false</ScaleCrop>
  <LinksUpToDate>false</LinksUpToDate>
  <CharactersWithSpaces>4791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2023-05-18T07:16:00Z</dcterms:created>
  <dc:creator>lhn</dc:creator>
  <cp:lastModifiedBy>猫的薄荷糖</cp:lastModifiedBy>
  <cp:lastPrinted>2023-02-17T01:55:00Z</cp:lastPrinted>
  <dcterms:modified xsi:type="dcterms:W3CDTF">2023-07-12T07:15:30Z</dcterms:modified>
  <dc:title>财政支出绩效评价管理暂行办法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A62D442E238C423CBAD4400012BED19F_12</vt:lpwstr>
  </property>
</Properties>
</file>