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1"/>
        <w:spacing w:line="440" w:lineRule="exact"/>
        <w:jc w:val="both"/>
        <w:rPr>
          <w:rFonts w:ascii="宋体" w:hAnsi="宋体" w:eastAsia="宋体" w:cs="宋体"/>
        </w:rPr>
      </w:pPr>
    </w:p>
    <w:p>
      <w:pPr>
        <w:pStyle w:val="21"/>
        <w:spacing w:line="440" w:lineRule="exact"/>
        <w:rPr>
          <w:rFonts w:ascii="宋体" w:hAnsi="宋体" w:eastAsia="宋体" w:cs="宋体"/>
        </w:rPr>
      </w:pPr>
    </w:p>
    <w:p>
      <w:pPr>
        <w:pStyle w:val="21"/>
        <w:spacing w:line="440" w:lineRule="exact"/>
        <w:rPr>
          <w:rFonts w:ascii="宋体" w:hAnsi="宋体" w:eastAsia="宋体" w:cs="宋体"/>
        </w:rPr>
      </w:pPr>
    </w:p>
    <w:p>
      <w:pPr>
        <w:pStyle w:val="21"/>
        <w:spacing w:line="440" w:lineRule="exact"/>
        <w:rPr>
          <w:rFonts w:ascii="宋体" w:hAnsi="宋体" w:eastAsia="宋体" w:cs="宋体"/>
        </w:rPr>
      </w:pPr>
    </w:p>
    <w:p>
      <w:pPr>
        <w:pStyle w:val="21"/>
        <w:spacing w:line="440" w:lineRule="exact"/>
        <w:rPr>
          <w:rFonts w:ascii="宋体" w:hAnsi="宋体" w:eastAsia="宋体" w:cs="宋体"/>
        </w:rPr>
      </w:pPr>
    </w:p>
    <w:p>
      <w:pPr>
        <w:pStyle w:val="21"/>
        <w:spacing w:line="440" w:lineRule="exact"/>
        <w:rPr>
          <w:rFonts w:ascii="宋体" w:hAnsi="宋体" w:eastAsia="宋体" w:cs="宋体"/>
        </w:rPr>
      </w:pPr>
    </w:p>
    <w:p>
      <w:pPr>
        <w:pStyle w:val="21"/>
        <w:spacing w:line="440" w:lineRule="exact"/>
        <w:rPr>
          <w:rFonts w:ascii="宋体" w:hAnsi="宋体" w:eastAsia="宋体" w:cs="宋体"/>
        </w:rPr>
      </w:pPr>
    </w:p>
    <w:p>
      <w:pPr>
        <w:spacing w:line="440" w:lineRule="exact"/>
        <w:ind w:left="880" w:hanging="880"/>
        <w:jc w:val="center"/>
        <w:rPr>
          <w:rFonts w:ascii="方正小标宋_GBK" w:eastAsia="方正小标宋_GBK" w:cs="文星简黑体"/>
          <w:sz w:val="44"/>
          <w:szCs w:val="44"/>
        </w:rPr>
      </w:pPr>
      <w:r>
        <w:rPr>
          <w:rFonts w:hint="eastAsia" w:ascii="方正小标宋_GBK" w:eastAsia="方正小标宋_GBK" w:cs="文星简黑体"/>
          <w:sz w:val="44"/>
          <w:szCs w:val="44"/>
        </w:rPr>
        <w:t>2022年度区法院诉讼服务中心配套及智能化建设项目绩效评价报告</w:t>
      </w:r>
    </w:p>
    <w:p>
      <w:pPr>
        <w:spacing w:line="440" w:lineRule="exact"/>
        <w:ind w:left="1040" w:hanging="1040"/>
        <w:jc w:val="right"/>
        <w:rPr>
          <w:rFonts w:ascii="文星简黑体" w:eastAsia="文星简黑体"/>
          <w:sz w:val="52"/>
          <w:szCs w:val="52"/>
        </w:rPr>
      </w:pPr>
    </w:p>
    <w:p>
      <w:pPr>
        <w:spacing w:line="440" w:lineRule="exact"/>
        <w:ind w:left="1040" w:hanging="1040"/>
        <w:jc w:val="center"/>
        <w:rPr>
          <w:rFonts w:ascii="文星简黑体" w:eastAsia="文星简黑体"/>
          <w:sz w:val="52"/>
          <w:szCs w:val="52"/>
        </w:rPr>
      </w:pPr>
    </w:p>
    <w:p>
      <w:pPr>
        <w:pStyle w:val="2"/>
        <w:rPr>
          <w:rFonts w:ascii="文星简黑体" w:eastAsia="文星简黑体"/>
          <w:sz w:val="52"/>
          <w:szCs w:val="52"/>
        </w:rPr>
      </w:pPr>
    </w:p>
    <w:p>
      <w:pPr>
        <w:rPr>
          <w:rFonts w:ascii="文星简黑体" w:eastAsia="文星简黑体"/>
          <w:sz w:val="52"/>
          <w:szCs w:val="52"/>
        </w:rPr>
      </w:pPr>
    </w:p>
    <w:p>
      <w:pPr>
        <w:pStyle w:val="2"/>
        <w:rPr>
          <w:rFonts w:ascii="文星简黑体" w:eastAsia="文星简黑体"/>
          <w:sz w:val="52"/>
          <w:szCs w:val="52"/>
        </w:rPr>
      </w:pPr>
    </w:p>
    <w:p>
      <w:pPr>
        <w:rPr>
          <w:rFonts w:ascii="文星简黑体" w:eastAsia="文星简黑体"/>
          <w:sz w:val="52"/>
          <w:szCs w:val="52"/>
        </w:rPr>
      </w:pPr>
    </w:p>
    <w:p>
      <w:pPr>
        <w:pStyle w:val="2"/>
      </w:pPr>
    </w:p>
    <w:p>
      <w:pPr>
        <w:spacing w:line="440" w:lineRule="exact"/>
        <w:ind w:left="1040" w:hanging="1040"/>
        <w:jc w:val="center"/>
        <w:rPr>
          <w:rFonts w:ascii="文星简黑体" w:eastAsia="文星简黑体"/>
          <w:sz w:val="52"/>
          <w:szCs w:val="52"/>
        </w:rPr>
      </w:pPr>
    </w:p>
    <w:p>
      <w:pPr>
        <w:spacing w:line="440" w:lineRule="exact"/>
        <w:ind w:left="640" w:hanging="640"/>
        <w:jc w:val="left"/>
        <w:rPr>
          <w:rFonts w:ascii="黑体" w:hAnsi="黑体" w:eastAsia="黑体"/>
          <w:sz w:val="32"/>
          <w:szCs w:val="32"/>
        </w:rPr>
      </w:pPr>
      <w:r>
        <w:rPr>
          <w:rFonts w:hint="eastAsia" w:ascii="黑体" w:hAnsi="黑体" w:eastAsia="黑体" w:cs="文星简黑体"/>
          <w:kern w:val="0"/>
          <w:sz w:val="32"/>
          <w:szCs w:val="32"/>
        </w:rPr>
        <w:t>评价单位：城阳区人民法院</w:t>
      </w:r>
    </w:p>
    <w:p>
      <w:pPr>
        <w:spacing w:line="440" w:lineRule="exact"/>
        <w:ind w:left="2240" w:hanging="2240" w:hangingChars="700"/>
        <w:rPr>
          <w:rFonts w:ascii="黑体" w:hAnsi="黑体" w:eastAsia="黑体"/>
          <w:sz w:val="32"/>
          <w:szCs w:val="32"/>
        </w:rPr>
      </w:pPr>
      <w:r>
        <w:rPr>
          <w:rFonts w:hint="eastAsia" w:ascii="黑体" w:hAnsi="黑体" w:eastAsia="黑体" w:cs="文星简黑体"/>
          <w:sz w:val="32"/>
          <w:szCs w:val="32"/>
        </w:rPr>
        <w:t>被评价单位：</w:t>
      </w:r>
      <w:r>
        <w:rPr>
          <w:rFonts w:hint="eastAsia" w:ascii="黑体" w:hAnsi="黑体" w:eastAsia="黑体" w:cs="文星简黑体"/>
          <w:kern w:val="0"/>
          <w:sz w:val="32"/>
          <w:szCs w:val="32"/>
        </w:rPr>
        <w:t>城阳区人民法院</w:t>
      </w:r>
    </w:p>
    <w:p>
      <w:pPr>
        <w:spacing w:line="440" w:lineRule="exact"/>
        <w:ind w:left="640" w:hanging="640"/>
        <w:jc w:val="left"/>
        <w:rPr>
          <w:rFonts w:ascii="黑体" w:hAnsi="黑体" w:eastAsia="黑体"/>
          <w:sz w:val="32"/>
          <w:szCs w:val="32"/>
        </w:rPr>
      </w:pPr>
    </w:p>
    <w:p>
      <w:pPr>
        <w:spacing w:line="440" w:lineRule="exact"/>
        <w:ind w:left="640" w:hanging="640"/>
        <w:jc w:val="center"/>
        <w:rPr>
          <w:rFonts w:ascii="黑体" w:hAnsi="黑体" w:eastAsia="黑体"/>
          <w:sz w:val="32"/>
          <w:szCs w:val="32"/>
        </w:rPr>
      </w:pPr>
    </w:p>
    <w:p>
      <w:pPr>
        <w:spacing w:line="440" w:lineRule="exact"/>
        <w:rPr>
          <w:rFonts w:ascii="黑体" w:hAnsi="黑体" w:eastAsia="黑体"/>
          <w:sz w:val="32"/>
          <w:szCs w:val="32"/>
        </w:rPr>
      </w:pPr>
    </w:p>
    <w:p>
      <w:pPr>
        <w:spacing w:line="440" w:lineRule="exact"/>
        <w:jc w:val="center"/>
        <w:rPr>
          <w:rFonts w:ascii="黑体" w:hAnsi="黑体" w:eastAsia="黑体" w:cs="文星简黑体"/>
          <w:sz w:val="32"/>
          <w:szCs w:val="32"/>
        </w:rPr>
      </w:pPr>
    </w:p>
    <w:p>
      <w:pPr>
        <w:spacing w:line="440" w:lineRule="exact"/>
        <w:jc w:val="center"/>
        <w:rPr>
          <w:rFonts w:ascii="黑体" w:hAnsi="黑体" w:eastAsia="黑体" w:cs="文星简黑体"/>
          <w:sz w:val="32"/>
          <w:szCs w:val="32"/>
        </w:rPr>
      </w:pPr>
    </w:p>
    <w:p>
      <w:pPr>
        <w:spacing w:line="440" w:lineRule="exact"/>
        <w:jc w:val="center"/>
        <w:rPr>
          <w:rFonts w:ascii="黑体" w:hAnsi="黑体" w:eastAsia="黑体" w:cs="文星简黑体"/>
          <w:sz w:val="32"/>
          <w:szCs w:val="32"/>
        </w:rPr>
      </w:pPr>
      <w:r>
        <w:rPr>
          <w:rFonts w:hint="eastAsia" w:ascii="黑体" w:hAnsi="黑体" w:eastAsia="黑体" w:cs="文星简黑体"/>
          <w:sz w:val="32"/>
          <w:szCs w:val="32"/>
        </w:rPr>
        <w:t>2023年5月</w:t>
      </w:r>
    </w:p>
    <w:p>
      <w:pPr>
        <w:widowControl/>
        <w:jc w:val="left"/>
        <w:rPr>
          <w:rFonts w:ascii="黑体" w:hAnsi="黑体" w:eastAsia="黑体" w:cs="文星简黑体"/>
          <w:sz w:val="32"/>
          <w:szCs w:val="32"/>
        </w:rPr>
      </w:pPr>
      <w:r>
        <w:rPr>
          <w:rFonts w:ascii="黑体" w:hAnsi="黑体" w:eastAsia="黑体" w:cs="文星简黑体"/>
          <w:sz w:val="32"/>
          <w:szCs w:val="32"/>
        </w:rPr>
        <w:br w:type="page"/>
      </w:r>
    </w:p>
    <w:p>
      <w:pPr>
        <w:spacing w:line="440" w:lineRule="exact"/>
        <w:jc w:val="center"/>
        <w:rPr>
          <w:rFonts w:ascii="方正小标宋_GBK" w:eastAsia="方正小标宋_GBK" w:cs="文星简黑体"/>
          <w:sz w:val="44"/>
          <w:szCs w:val="44"/>
        </w:rPr>
      </w:pPr>
      <w:r>
        <w:rPr>
          <w:rFonts w:hint="eastAsia" w:ascii="方正小标宋_GBK" w:eastAsia="方正小标宋_GBK" w:cs="文星简黑体"/>
          <w:sz w:val="44"/>
          <w:szCs w:val="44"/>
        </w:rPr>
        <w:t>2022年度区法院诉讼服务中心配套及智能化建设项目</w:t>
      </w:r>
      <w:r>
        <w:rPr>
          <w:rFonts w:ascii="方正小标宋_GBK" w:eastAsia="方正小标宋_GBK" w:cs="文星简黑体"/>
          <w:sz w:val="44"/>
          <w:szCs w:val="44"/>
        </w:rPr>
        <w:t>绩效</w:t>
      </w:r>
      <w:r>
        <w:rPr>
          <w:rFonts w:hint="eastAsia" w:ascii="方正小标宋_GBK" w:eastAsia="方正小标宋_GBK" w:cs="文星简黑体"/>
          <w:sz w:val="44"/>
          <w:szCs w:val="44"/>
        </w:rPr>
        <w:t>评价报告</w:t>
      </w:r>
    </w:p>
    <w:p>
      <w:pPr>
        <w:spacing w:line="440" w:lineRule="exact"/>
        <w:jc w:val="center"/>
        <w:rPr>
          <w:rFonts w:hint="eastAsia" w:ascii="仿宋_GB2312" w:eastAsia="仿宋_GB2312"/>
          <w:szCs w:val="30"/>
          <w:lang w:val="en-US" w:eastAsia="zh-CN"/>
        </w:rPr>
      </w:pPr>
    </w:p>
    <w:p>
      <w:pPr>
        <w:spacing w:line="440" w:lineRule="exact"/>
        <w:ind w:firstLine="600" w:firstLineChars="200"/>
        <w:rPr>
          <w:rFonts w:ascii="黑体" w:hAnsi="黑体" w:eastAsia="黑体"/>
        </w:rPr>
      </w:pPr>
      <w:r>
        <w:rPr>
          <w:rFonts w:hint="eastAsia" w:ascii="黑体" w:hAnsi="黑体" w:eastAsia="黑体"/>
        </w:rPr>
        <w:t>一、基本情况</w:t>
      </w:r>
    </w:p>
    <w:p>
      <w:pPr>
        <w:spacing w:line="440" w:lineRule="exact"/>
        <w:ind w:firstLine="600" w:firstLineChars="200"/>
        <w:outlineLvl w:val="0"/>
        <w:rPr>
          <w:rFonts w:hint="eastAsia" w:ascii="楷体_GB2312" w:eastAsia="楷体_GB2312"/>
        </w:rPr>
      </w:pPr>
      <w:r>
        <w:rPr>
          <w:rFonts w:hint="eastAsia" w:ascii="楷体_GB2312" w:eastAsia="楷体_GB2312"/>
        </w:rPr>
        <w:t>（一）项目概况。</w:t>
      </w:r>
    </w:p>
    <w:p>
      <w:pPr>
        <w:spacing w:line="440" w:lineRule="exact"/>
        <w:ind w:firstLine="600" w:firstLineChars="200"/>
        <w:outlineLvl w:val="0"/>
        <w:rPr>
          <w:rFonts w:ascii="仿宋_GB2312"/>
        </w:rPr>
      </w:pPr>
      <w:r>
        <w:rPr>
          <w:rFonts w:hint="eastAsia" w:ascii="仿宋_GB2312"/>
        </w:rPr>
        <w:t>根据城阳区发改局《关于诉讼服务中心配套及智能化建设项目建议书（代可行性研究报告）的复函》（青城发改投资审〔2022〕38号），建设内容包括诉讼服务中心信息化建设、科技法庭建设、执行指挥中心信息化建设、楼宇智能化建设及购置审判家具等。</w:t>
      </w:r>
    </w:p>
    <w:p>
      <w:pPr>
        <w:spacing w:line="440" w:lineRule="exact"/>
        <w:ind w:firstLine="600" w:firstLineChars="200"/>
        <w:outlineLvl w:val="0"/>
        <w:rPr>
          <w:rFonts w:ascii="仿宋_GB2312"/>
        </w:rPr>
      </w:pPr>
      <w:r>
        <w:rPr>
          <w:rFonts w:hint="eastAsia" w:ascii="仿宋_GB2312"/>
        </w:rPr>
        <w:t>2022年，预算资金1800万元，支出1800万元，执行率100%。</w:t>
      </w:r>
    </w:p>
    <w:p>
      <w:pPr>
        <w:spacing w:line="440" w:lineRule="exact"/>
        <w:ind w:firstLine="600" w:firstLineChars="200"/>
        <w:rPr>
          <w:rFonts w:ascii="楷体_GB2312" w:eastAsia="楷体_GB2312"/>
        </w:rPr>
      </w:pPr>
      <w:r>
        <w:rPr>
          <w:rFonts w:hint="eastAsia" w:ascii="楷体_GB2312" w:eastAsia="楷体_GB2312"/>
        </w:rPr>
        <w:t>（二）项目绩效目标。</w:t>
      </w:r>
    </w:p>
    <w:p>
      <w:pPr>
        <w:spacing w:line="440" w:lineRule="exact"/>
        <w:ind w:firstLine="600" w:firstLineChars="200"/>
        <w:rPr>
          <w:rFonts w:ascii="仿宋_GB2312"/>
        </w:rPr>
      </w:pPr>
      <w:r>
        <w:rPr>
          <w:rFonts w:hint="eastAsia" w:ascii="仿宋_GB2312"/>
        </w:rPr>
        <w:t>根据年度工作安排、工作职责、项目具体等设置了总体和阶段性目标，按照产出、效益、满意度3个一级指标，数量、质量、时效、成本、生态效益、服务对象满意度6个二级指标。</w:t>
      </w:r>
    </w:p>
    <w:p>
      <w:pPr>
        <w:spacing w:line="440" w:lineRule="exact"/>
        <w:ind w:firstLine="600" w:firstLineChars="200"/>
        <w:rPr>
          <w:rFonts w:ascii="仿宋_GB2312"/>
        </w:rPr>
      </w:pPr>
      <w:r>
        <w:rPr>
          <w:rFonts w:hint="eastAsia" w:ascii="仿宋_GB2312"/>
        </w:rPr>
        <w:t>基本上完成了总体目标和阶段性目标。</w:t>
      </w:r>
    </w:p>
    <w:p>
      <w:pPr>
        <w:spacing w:line="440" w:lineRule="exact"/>
        <w:ind w:firstLine="600" w:firstLineChars="200"/>
        <w:rPr>
          <w:rFonts w:ascii="黑体" w:hAnsi="黑体" w:eastAsia="黑体"/>
        </w:rPr>
      </w:pPr>
      <w:r>
        <w:rPr>
          <w:rFonts w:hint="eastAsia" w:ascii="黑体" w:hAnsi="黑体" w:eastAsia="黑体"/>
        </w:rPr>
        <w:t>二、绩效评价工作开展情况</w:t>
      </w:r>
    </w:p>
    <w:p>
      <w:pPr>
        <w:spacing w:line="440" w:lineRule="exact"/>
        <w:ind w:firstLine="600" w:firstLineChars="200"/>
        <w:rPr>
          <w:rFonts w:ascii="楷体_GB2312" w:eastAsia="楷体_GB2312"/>
        </w:rPr>
      </w:pPr>
      <w:r>
        <w:rPr>
          <w:rFonts w:hint="eastAsia" w:ascii="楷体_GB2312" w:eastAsia="楷体_GB2312"/>
        </w:rPr>
        <w:t>（一）绩效评价目的、对象和范围</w:t>
      </w:r>
    </w:p>
    <w:p>
      <w:pPr>
        <w:pStyle w:val="23"/>
        <w:spacing w:line="440" w:lineRule="exact"/>
        <w:ind w:firstLine="663" w:firstLineChars="221"/>
        <w:rPr>
          <w:rFonts w:hint="eastAsia" w:ascii="仿宋_GB2312" w:hAnsi="仿宋_GB2312" w:cs="仿宋_GB2312"/>
          <w:kern w:val="2"/>
          <w:sz w:val="30"/>
          <w:szCs w:val="24"/>
          <w:lang w:val="en-US"/>
        </w:rPr>
      </w:pPr>
      <w:r>
        <w:rPr>
          <w:rFonts w:hint="eastAsia" w:ascii="仿宋_GB2312" w:hAnsi="仿宋_GB2312" w:cs="仿宋_GB2312"/>
          <w:kern w:val="2"/>
          <w:sz w:val="30"/>
          <w:szCs w:val="24"/>
          <w:lang w:val="en-US"/>
        </w:rPr>
        <w:t>目的：根据青岛市城阳区政府项目绩效评价实施方案，对本部门整体支出进行绩效评价，评价绩效目标的设定、资金投入和使用、为实现绩效目标制定的制度及采取的措施、绩效目标的实现程度及效果等情况，并对项目实施中存在的问题进行归纳与分析，以期对后续项目的决策管理、财政资金的安排使用提出改进建议。</w:t>
      </w:r>
    </w:p>
    <w:p>
      <w:pPr>
        <w:pStyle w:val="23"/>
        <w:spacing w:line="440" w:lineRule="exact"/>
        <w:ind w:firstLine="663" w:firstLineChars="221"/>
        <w:rPr>
          <w:rFonts w:hint="eastAsia" w:ascii="仿宋_GB2312" w:hAnsi="仿宋_GB2312" w:cs="仿宋_GB2312"/>
          <w:kern w:val="2"/>
          <w:sz w:val="30"/>
          <w:szCs w:val="24"/>
          <w:lang w:val="en-US"/>
        </w:rPr>
      </w:pPr>
      <w:r>
        <w:rPr>
          <w:rFonts w:hint="eastAsia" w:ascii="仿宋_GB2312" w:hAnsi="仿宋_GB2312" w:cs="仿宋_GB2312"/>
          <w:kern w:val="2"/>
          <w:sz w:val="30"/>
          <w:szCs w:val="24"/>
          <w:lang w:val="en-US"/>
        </w:rPr>
        <w:t>对象:财政专项资金项目。</w:t>
      </w:r>
    </w:p>
    <w:p>
      <w:pPr>
        <w:pStyle w:val="23"/>
        <w:spacing w:line="440" w:lineRule="exact"/>
        <w:ind w:firstLine="663" w:firstLineChars="221"/>
        <w:rPr>
          <w:rFonts w:ascii="仿宋_GB2312" w:hAnsi="仿宋_GB2312" w:cs="仿宋_GB2312"/>
          <w:kern w:val="2"/>
          <w:sz w:val="30"/>
          <w:szCs w:val="24"/>
          <w:lang w:val="en-US"/>
        </w:rPr>
      </w:pPr>
      <w:r>
        <w:rPr>
          <w:rFonts w:hint="eastAsia" w:ascii="仿宋_GB2312" w:hAnsi="仿宋_GB2312" w:cs="仿宋_GB2312"/>
          <w:kern w:val="2"/>
          <w:sz w:val="30"/>
          <w:szCs w:val="24"/>
          <w:lang w:val="en-US"/>
        </w:rPr>
        <w:t>范围:2022年度。</w:t>
      </w:r>
    </w:p>
    <w:p>
      <w:pPr>
        <w:spacing w:line="440" w:lineRule="exact"/>
        <w:ind w:firstLine="600" w:firstLineChars="200"/>
        <w:rPr>
          <w:rFonts w:ascii="楷体_GB2312" w:eastAsia="楷体_GB2312"/>
        </w:rPr>
      </w:pPr>
      <w:r>
        <w:rPr>
          <w:rFonts w:hint="eastAsia" w:ascii="楷体_GB2312" w:eastAsia="楷体_GB2312"/>
        </w:rPr>
        <w:t>（二）绩效评价原则、评价指标体系、评价方法</w:t>
      </w:r>
    </w:p>
    <w:p>
      <w:pPr>
        <w:spacing w:line="440" w:lineRule="exact"/>
        <w:ind w:firstLine="663" w:firstLineChars="221"/>
        <w:rPr>
          <w:rFonts w:ascii="仿宋_GB2312" w:hAnsi="仿宋_GB2312" w:cs="仿宋_GB2312"/>
        </w:rPr>
      </w:pPr>
      <w:r>
        <w:rPr>
          <w:rFonts w:hint="eastAsia" w:ascii="仿宋_GB2312" w:hAnsi="仿宋_GB2312" w:cs="仿宋_GB2312"/>
        </w:rPr>
        <w:t>绩效评价遵循以下基本原则：</w:t>
      </w:r>
    </w:p>
    <w:p>
      <w:pPr>
        <w:spacing w:line="440" w:lineRule="exact"/>
        <w:ind w:firstLine="663" w:firstLineChars="221"/>
        <w:rPr>
          <w:rFonts w:ascii="仿宋_GB2312" w:hAnsi="仿宋_GB2312" w:cs="仿宋_GB2312"/>
        </w:rPr>
      </w:pPr>
      <w:r>
        <w:rPr>
          <w:rFonts w:hint="eastAsia" w:ascii="仿宋_GB2312" w:hAnsi="仿宋_GB2312" w:cs="仿宋_GB2312"/>
        </w:rPr>
        <w:t>1、相关性原则。评价指标应当与绩效目标有直接的联系，能够正确反映目标的实现程度。</w:t>
      </w:r>
    </w:p>
    <w:p>
      <w:pPr>
        <w:spacing w:line="440" w:lineRule="exact"/>
        <w:ind w:firstLine="663" w:firstLineChars="221"/>
        <w:rPr>
          <w:rFonts w:ascii="仿宋_GB2312" w:hAnsi="仿宋_GB2312" w:cs="仿宋_GB2312"/>
        </w:rPr>
      </w:pPr>
      <w:r>
        <w:rPr>
          <w:rFonts w:hint="eastAsia" w:ascii="仿宋_GB2312" w:hAnsi="仿宋_GB2312" w:cs="仿宋_GB2312"/>
        </w:rPr>
        <w:t>2、重要性原则。评价指标应当优先使用最具代表性、最能反映评价要求的核心指标。</w:t>
      </w:r>
    </w:p>
    <w:p>
      <w:pPr>
        <w:spacing w:line="440" w:lineRule="exact"/>
        <w:ind w:firstLine="663" w:firstLineChars="221"/>
        <w:rPr>
          <w:rFonts w:ascii="仿宋_GB2312" w:hAnsi="仿宋_GB2312" w:cs="仿宋_GB2312"/>
        </w:rPr>
      </w:pPr>
      <w:r>
        <w:rPr>
          <w:rFonts w:hint="eastAsia" w:ascii="仿宋_GB2312" w:hAnsi="仿宋_GB2312" w:cs="仿宋_GB2312"/>
        </w:rPr>
        <w:t>3、可比性原则。对同类评价对象要设定共性的评价指标，以便于评价结果可以相互比较。</w:t>
      </w:r>
    </w:p>
    <w:p>
      <w:pPr>
        <w:spacing w:line="440" w:lineRule="exact"/>
        <w:ind w:firstLine="663" w:firstLineChars="221"/>
        <w:rPr>
          <w:rFonts w:ascii="仿宋_GB2312" w:hAnsi="仿宋_GB2312" w:cs="仿宋_GB2312"/>
        </w:rPr>
      </w:pPr>
      <w:r>
        <w:rPr>
          <w:rFonts w:hint="eastAsia" w:ascii="仿宋_GB2312" w:hAnsi="仿宋_GB2312" w:cs="仿宋_GB2312"/>
        </w:rPr>
        <w:t>4、系统性原则。评价指标的设置应当将定量指标与定性指标相结合，系统反映财政支出所产生的社会效益、环境效益和社会公众或服务对象满意度等。</w:t>
      </w:r>
    </w:p>
    <w:p>
      <w:pPr>
        <w:spacing w:line="440" w:lineRule="exact"/>
        <w:ind w:firstLine="663" w:firstLineChars="221"/>
        <w:rPr>
          <w:rFonts w:ascii="仿宋_GB2312" w:hAnsi="仿宋_GB2312" w:cs="仿宋_GB2312"/>
        </w:rPr>
      </w:pPr>
      <w:r>
        <w:rPr>
          <w:rFonts w:hint="eastAsia" w:ascii="仿宋_GB2312" w:hAnsi="仿宋_GB2312" w:cs="仿宋_GB2312"/>
        </w:rPr>
        <w:t>5、经济性原则。评价指标设计应当通俗易懂、简便易行，数据的获得应当。</w:t>
      </w:r>
    </w:p>
    <w:p>
      <w:pPr>
        <w:pStyle w:val="23"/>
        <w:adjustRightInd w:val="0"/>
        <w:snapToGrid w:val="0"/>
        <w:spacing w:line="440" w:lineRule="exact"/>
        <w:ind w:firstLine="663" w:firstLineChars="221"/>
        <w:rPr>
          <w:rFonts w:ascii="仿宋_GB2312" w:hAnsi="仿宋_GB2312" w:cs="仿宋_GB2312"/>
          <w:kern w:val="2"/>
          <w:sz w:val="30"/>
          <w:szCs w:val="24"/>
          <w:lang w:val="en-US"/>
        </w:rPr>
      </w:pPr>
      <w:r>
        <w:rPr>
          <w:rFonts w:hint="eastAsia" w:ascii="仿宋_GB2312" w:hAnsi="仿宋_GB2312" w:cs="仿宋_GB2312"/>
          <w:kern w:val="2"/>
          <w:sz w:val="30"/>
          <w:szCs w:val="24"/>
          <w:lang w:val="en-US"/>
        </w:rPr>
        <w:t>绩效评价指标体系</w:t>
      </w:r>
    </w:p>
    <w:p>
      <w:pPr>
        <w:pStyle w:val="23"/>
        <w:adjustRightInd w:val="0"/>
        <w:snapToGrid w:val="0"/>
        <w:spacing w:line="440" w:lineRule="exact"/>
        <w:ind w:firstLine="663" w:firstLineChars="221"/>
        <w:rPr>
          <w:rFonts w:ascii="仿宋_GB2312" w:hAnsi="仿宋_GB2312" w:cs="仿宋_GB2312"/>
          <w:kern w:val="2"/>
          <w:sz w:val="30"/>
          <w:szCs w:val="24"/>
          <w:lang w:val="en-US"/>
        </w:rPr>
      </w:pPr>
      <w:r>
        <w:rPr>
          <w:rFonts w:hint="eastAsia" w:ascii="仿宋_GB2312" w:hAnsi="仿宋_GB2312" w:cs="仿宋_GB2312"/>
          <w:kern w:val="2"/>
          <w:sz w:val="30"/>
          <w:szCs w:val="24"/>
          <w:lang w:val="en-US"/>
        </w:rPr>
        <w:t>绩效评价指标是指衡量绩效目标实现程度的考核工具，分为共性指标和个性指标。依据相关性、重要性、可比性、系统性、经济性原则，根据《预算法》、《财政部关于印发&lt;财政支出绩效评价管理暂行办法&gt;的通知（财预[2011]285号）和《山东省省级预算支出项目第三方绩效评价工作规程（试行）》的要求，结合项目特点，评价机构在与项目主管部门沟通基础上，细化该项目的综合评价指标体系，评价内容包括决策、过程、产出和效果四个方面，具体见附件。</w:t>
      </w:r>
    </w:p>
    <w:p>
      <w:pPr>
        <w:spacing w:line="440" w:lineRule="exact"/>
        <w:ind w:firstLine="663" w:firstLineChars="221"/>
        <w:rPr>
          <w:rFonts w:ascii="仿宋_GB2312" w:hAnsi="仿宋_GB2312" w:cs="仿宋_GB2312"/>
        </w:rPr>
      </w:pPr>
      <w:r>
        <w:rPr>
          <w:rFonts w:hint="eastAsia" w:ascii="仿宋_GB2312" w:hAnsi="仿宋_GB2312" w:cs="仿宋_GB2312"/>
        </w:rPr>
        <w:t>评价方法</w:t>
      </w:r>
      <w:bookmarkStart w:id="0" w:name="_Toc1581"/>
      <w:bookmarkStart w:id="1" w:name="_Toc11326"/>
      <w:bookmarkStart w:id="2" w:name="_Toc12173"/>
    </w:p>
    <w:bookmarkEnd w:id="0"/>
    <w:bookmarkEnd w:id="1"/>
    <w:bookmarkEnd w:id="2"/>
    <w:p>
      <w:pPr>
        <w:spacing w:line="440" w:lineRule="exact"/>
        <w:ind w:firstLine="663" w:firstLineChars="221"/>
        <w:rPr>
          <w:rFonts w:ascii="仿宋_GB2312" w:hAnsi="仿宋_GB2312" w:cs="仿宋_GB2312"/>
        </w:rPr>
      </w:pPr>
      <w:bookmarkStart w:id="3" w:name="_Toc3245"/>
      <w:bookmarkStart w:id="4" w:name="_Toc1173"/>
      <w:bookmarkStart w:id="5" w:name="_Toc1424"/>
      <w:bookmarkStart w:id="6" w:name="_Toc28916"/>
      <w:r>
        <w:rPr>
          <w:rFonts w:hint="eastAsia" w:ascii="仿宋_GB2312" w:hAnsi="仿宋_GB2312" w:cs="仿宋_GB2312"/>
        </w:rPr>
        <w:t>本着科学、规范、独立、客观、公正的原则，采用比较法、因素分析法以及公众评判法等绩效评价方法，最终通过综合分析影响绩效目标实现、实施效果的内外因素，评价绩效目标的实现程度。重点关注收集、分析数据方法的有效性、可靠性，从决策、过程、产出和效果四个方面进行综合评分。</w:t>
      </w:r>
      <w:bookmarkEnd w:id="3"/>
      <w:bookmarkEnd w:id="4"/>
      <w:bookmarkEnd w:id="5"/>
      <w:bookmarkEnd w:id="6"/>
    </w:p>
    <w:p>
      <w:pPr>
        <w:spacing w:line="440" w:lineRule="exact"/>
        <w:ind w:firstLine="600" w:firstLineChars="200"/>
        <w:rPr>
          <w:rFonts w:ascii="楷体_GB2312" w:eastAsia="楷体_GB2312"/>
        </w:rPr>
      </w:pPr>
      <w:r>
        <w:rPr>
          <w:rFonts w:hint="eastAsia" w:ascii="楷体_GB2312" w:eastAsia="楷体_GB2312"/>
        </w:rPr>
        <w:t>（三）绩效评价工作过程</w:t>
      </w:r>
    </w:p>
    <w:p>
      <w:pPr>
        <w:widowControl/>
        <w:tabs>
          <w:tab w:val="left" w:pos="2740"/>
        </w:tabs>
        <w:adjustRightInd w:val="0"/>
        <w:snapToGrid w:val="0"/>
        <w:spacing w:line="440" w:lineRule="exact"/>
        <w:ind w:firstLine="600" w:firstLineChars="200"/>
        <w:jc w:val="left"/>
        <w:outlineLvl w:val="0"/>
        <w:rPr>
          <w:rFonts w:ascii="仿宋_GB2312" w:hAnsi="仿宋_GB2312" w:cs="仿宋_GB2312"/>
        </w:rPr>
      </w:pPr>
      <w:bookmarkStart w:id="7" w:name="_Toc22760"/>
      <w:bookmarkStart w:id="8" w:name="_Toc16128"/>
      <w:bookmarkStart w:id="9" w:name="_Toc5628"/>
      <w:r>
        <w:rPr>
          <w:rFonts w:hint="eastAsia" w:ascii="仿宋_GB2312" w:hAnsi="仿宋_GB2312" w:cs="仿宋_GB2312"/>
        </w:rPr>
        <w:t>1、评价准备阶段</w:t>
      </w:r>
      <w:bookmarkEnd w:id="7"/>
      <w:bookmarkEnd w:id="8"/>
      <w:bookmarkEnd w:id="9"/>
    </w:p>
    <w:p>
      <w:pPr>
        <w:widowControl/>
        <w:tabs>
          <w:tab w:val="left" w:pos="2740"/>
        </w:tabs>
        <w:adjustRightInd w:val="0"/>
        <w:snapToGrid w:val="0"/>
        <w:spacing w:line="440" w:lineRule="exact"/>
        <w:ind w:firstLine="600" w:firstLineChars="200"/>
        <w:jc w:val="left"/>
        <w:outlineLvl w:val="0"/>
        <w:rPr>
          <w:rFonts w:ascii="仿宋_GB2312" w:hAnsi="仿宋_GB2312" w:cs="仿宋_GB2312"/>
        </w:rPr>
      </w:pPr>
      <w:bookmarkStart w:id="10" w:name="_Toc2792"/>
      <w:bookmarkStart w:id="11" w:name="_Toc27232"/>
      <w:bookmarkStart w:id="12" w:name="_Toc12119"/>
      <w:bookmarkStart w:id="13" w:name="_Toc28653"/>
      <w:r>
        <w:rPr>
          <w:rFonts w:hint="eastAsia" w:ascii="仿宋_GB2312" w:hAnsi="仿宋_GB2312" w:cs="仿宋_GB2312"/>
        </w:rPr>
        <w:t>（1）成立评价小组，明确工作要求，搜集前期资料。</w:t>
      </w:r>
      <w:bookmarkEnd w:id="10"/>
      <w:bookmarkEnd w:id="11"/>
      <w:bookmarkEnd w:id="12"/>
      <w:bookmarkEnd w:id="13"/>
    </w:p>
    <w:p>
      <w:pPr>
        <w:widowControl/>
        <w:tabs>
          <w:tab w:val="left" w:pos="2740"/>
        </w:tabs>
        <w:adjustRightInd w:val="0"/>
        <w:snapToGrid w:val="0"/>
        <w:spacing w:line="440" w:lineRule="exact"/>
        <w:ind w:firstLine="600" w:firstLineChars="200"/>
        <w:jc w:val="left"/>
        <w:outlineLvl w:val="0"/>
        <w:rPr>
          <w:rFonts w:ascii="仿宋_GB2312" w:hAnsi="仿宋_GB2312" w:cs="仿宋_GB2312"/>
        </w:rPr>
      </w:pPr>
      <w:bookmarkStart w:id="14" w:name="_Toc30694"/>
      <w:bookmarkStart w:id="15" w:name="_Toc19983"/>
      <w:bookmarkStart w:id="16" w:name="_Toc21596"/>
      <w:bookmarkStart w:id="17" w:name="_Toc6092"/>
      <w:r>
        <w:rPr>
          <w:rFonts w:hint="eastAsia" w:ascii="仿宋_GB2312" w:hAnsi="仿宋_GB2312" w:cs="仿宋_GB2312"/>
        </w:rPr>
        <w:t>项目负责人：杜钧海副院长，根据绩效评价工作要求，实施评价，出具相关评价意见。</w:t>
      </w:r>
      <w:bookmarkEnd w:id="14"/>
      <w:bookmarkEnd w:id="15"/>
      <w:bookmarkEnd w:id="16"/>
      <w:bookmarkEnd w:id="17"/>
    </w:p>
    <w:p>
      <w:pPr>
        <w:widowControl/>
        <w:tabs>
          <w:tab w:val="left" w:pos="2740"/>
        </w:tabs>
        <w:adjustRightInd w:val="0"/>
        <w:snapToGrid w:val="0"/>
        <w:spacing w:line="440" w:lineRule="exact"/>
        <w:ind w:firstLine="600" w:firstLineChars="200"/>
        <w:jc w:val="left"/>
        <w:outlineLvl w:val="0"/>
        <w:rPr>
          <w:rFonts w:ascii="仿宋_GB2312" w:hAnsi="仿宋_GB2312" w:cs="仿宋_GB2312"/>
        </w:rPr>
      </w:pPr>
      <w:bookmarkStart w:id="18" w:name="_Toc28426"/>
      <w:bookmarkStart w:id="19" w:name="_Toc29074"/>
      <w:bookmarkStart w:id="20" w:name="_Toc9573"/>
      <w:bookmarkStart w:id="21" w:name="_Toc9149"/>
      <w:r>
        <w:rPr>
          <w:rFonts w:hint="eastAsia" w:ascii="仿宋_GB2312" w:hAnsi="仿宋_GB2312" w:cs="仿宋_GB2312"/>
        </w:rPr>
        <w:t>组员：胡维克、田国涛、张中立、李广宏等，根据绩效评价工作要求，协助完成评价。</w:t>
      </w:r>
      <w:bookmarkEnd w:id="18"/>
      <w:bookmarkEnd w:id="19"/>
      <w:bookmarkEnd w:id="20"/>
      <w:bookmarkEnd w:id="21"/>
    </w:p>
    <w:p>
      <w:pPr>
        <w:widowControl/>
        <w:tabs>
          <w:tab w:val="left" w:pos="2740"/>
        </w:tabs>
        <w:adjustRightInd w:val="0"/>
        <w:snapToGrid w:val="0"/>
        <w:spacing w:line="440" w:lineRule="exact"/>
        <w:ind w:firstLine="600" w:firstLineChars="200"/>
        <w:jc w:val="left"/>
        <w:outlineLvl w:val="0"/>
        <w:rPr>
          <w:rFonts w:ascii="仿宋_GB2312" w:hAnsi="仿宋_GB2312" w:cs="仿宋_GB2312"/>
        </w:rPr>
      </w:pPr>
      <w:bookmarkStart w:id="22" w:name="_Toc26491"/>
      <w:bookmarkStart w:id="23" w:name="_Toc22769"/>
      <w:bookmarkStart w:id="24" w:name="_Toc30722"/>
      <w:bookmarkStart w:id="25" w:name="_Toc13673"/>
      <w:r>
        <w:rPr>
          <w:rFonts w:hint="eastAsia" w:ascii="仿宋_GB2312" w:hAnsi="仿宋_GB2312" w:cs="仿宋_GB2312"/>
        </w:rPr>
        <w:t>（2）制定评价方案，编制评价指标体系。制定评价方案，进一步明确评价目的、对象、方法、程序、进度、人员安排等内容。初步编制评价指标体系，明确评价框架和要点。评价方案经评价工作组组长确认，修改完善后，与主管部门沟通，作为本次绩效评价工作开展的依据。</w:t>
      </w:r>
      <w:bookmarkEnd w:id="22"/>
      <w:bookmarkEnd w:id="23"/>
      <w:bookmarkEnd w:id="24"/>
      <w:bookmarkEnd w:id="25"/>
    </w:p>
    <w:p>
      <w:pPr>
        <w:widowControl/>
        <w:tabs>
          <w:tab w:val="left" w:pos="2740"/>
        </w:tabs>
        <w:adjustRightInd w:val="0"/>
        <w:snapToGrid w:val="0"/>
        <w:spacing w:line="440" w:lineRule="exact"/>
        <w:ind w:firstLine="600" w:firstLineChars="200"/>
        <w:jc w:val="left"/>
        <w:outlineLvl w:val="0"/>
        <w:rPr>
          <w:rFonts w:ascii="仿宋_GB2312" w:hAnsi="仿宋_GB2312" w:cs="仿宋_GB2312"/>
        </w:rPr>
      </w:pPr>
      <w:bookmarkStart w:id="26" w:name="_Toc7068"/>
      <w:bookmarkStart w:id="27" w:name="_Toc1539"/>
      <w:bookmarkStart w:id="28" w:name="_Toc5870"/>
      <w:r>
        <w:rPr>
          <w:rFonts w:hint="eastAsia" w:ascii="仿宋_GB2312" w:hAnsi="仿宋_GB2312" w:cs="仿宋_GB2312"/>
        </w:rPr>
        <w:t>2、评价实施阶段</w:t>
      </w:r>
      <w:bookmarkEnd w:id="26"/>
      <w:bookmarkEnd w:id="27"/>
      <w:bookmarkEnd w:id="28"/>
      <w:bookmarkStart w:id="29" w:name="_Toc32269"/>
      <w:bookmarkStart w:id="30" w:name="_Toc18296"/>
      <w:bookmarkStart w:id="31" w:name="_Toc6607"/>
      <w:bookmarkStart w:id="32" w:name="_Toc19409"/>
    </w:p>
    <w:p>
      <w:pPr>
        <w:widowControl/>
        <w:tabs>
          <w:tab w:val="left" w:pos="2740"/>
        </w:tabs>
        <w:adjustRightInd w:val="0"/>
        <w:snapToGrid w:val="0"/>
        <w:spacing w:line="440" w:lineRule="exact"/>
        <w:ind w:firstLine="600" w:firstLineChars="200"/>
        <w:jc w:val="left"/>
        <w:outlineLvl w:val="0"/>
        <w:rPr>
          <w:rFonts w:ascii="仿宋_GB2312" w:hAnsi="仿宋_GB2312" w:cs="仿宋_GB2312"/>
        </w:rPr>
      </w:pPr>
      <w:r>
        <w:rPr>
          <w:rFonts w:hint="eastAsia" w:ascii="仿宋_GB2312" w:hAnsi="仿宋_GB2312" w:cs="仿宋_GB2312"/>
        </w:rPr>
        <w:t>（1）收集、整理及审核项目资料。评价工作组依据资料收集清单开展资料收集工作。对收集到的资料，进行详细的工作记录，对于缺失的资料和不予提供的资料予以文字说明。在此基础上制定调研记录表和评价表格等。</w:t>
      </w:r>
      <w:bookmarkEnd w:id="29"/>
      <w:bookmarkEnd w:id="30"/>
      <w:bookmarkEnd w:id="31"/>
      <w:bookmarkEnd w:id="32"/>
    </w:p>
    <w:p>
      <w:pPr>
        <w:widowControl/>
        <w:tabs>
          <w:tab w:val="left" w:pos="2740"/>
        </w:tabs>
        <w:adjustRightInd w:val="0"/>
        <w:snapToGrid w:val="0"/>
        <w:spacing w:line="440" w:lineRule="exact"/>
        <w:ind w:firstLine="600" w:firstLineChars="200"/>
        <w:jc w:val="left"/>
        <w:outlineLvl w:val="0"/>
        <w:rPr>
          <w:rFonts w:ascii="仿宋_GB2312" w:hAnsi="仿宋_GB2312" w:cs="仿宋_GB2312"/>
        </w:rPr>
      </w:pPr>
      <w:bookmarkStart w:id="33" w:name="_Toc9335"/>
      <w:bookmarkStart w:id="34" w:name="_Toc16048"/>
      <w:bookmarkStart w:id="35" w:name="_Toc28577"/>
      <w:bookmarkStart w:id="36" w:name="_Toc22594"/>
      <w:r>
        <w:rPr>
          <w:rFonts w:hint="eastAsia" w:ascii="仿宋_GB2312" w:hAnsi="仿宋_GB2312" w:cs="仿宋_GB2312"/>
        </w:rPr>
        <w:t>（2）完善绩效评价指标体系。召开座谈会，听取相关主管部门、资金使用单位关于项目实施的意见，进一步修改实施方案和完善指标体系。完善后的评价指标体系经评价工作组组长确认，报备市财政局。</w:t>
      </w:r>
      <w:bookmarkEnd w:id="33"/>
      <w:bookmarkEnd w:id="34"/>
      <w:bookmarkEnd w:id="35"/>
      <w:bookmarkEnd w:id="36"/>
    </w:p>
    <w:p>
      <w:pPr>
        <w:widowControl/>
        <w:tabs>
          <w:tab w:val="left" w:pos="2740"/>
        </w:tabs>
        <w:adjustRightInd w:val="0"/>
        <w:snapToGrid w:val="0"/>
        <w:spacing w:line="440" w:lineRule="exact"/>
        <w:ind w:firstLine="600" w:firstLineChars="200"/>
        <w:jc w:val="left"/>
        <w:outlineLvl w:val="0"/>
        <w:rPr>
          <w:rFonts w:ascii="仿宋_GB2312" w:hAnsi="仿宋_GB2312" w:cs="仿宋_GB2312"/>
        </w:rPr>
      </w:pPr>
      <w:bookmarkStart w:id="37" w:name="_Toc22776"/>
      <w:bookmarkStart w:id="38" w:name="_Toc22582"/>
      <w:bookmarkStart w:id="39" w:name="_Toc26518"/>
      <w:bookmarkStart w:id="40" w:name="_Toc7169"/>
      <w:r>
        <w:rPr>
          <w:rFonts w:hint="eastAsia" w:ascii="仿宋_GB2312" w:hAnsi="仿宋_GB2312" w:cs="仿宋_GB2312"/>
        </w:rPr>
        <w:t>（3）现场评价。评价小组赴被评价部门、单位及项目现场，采取</w:t>
      </w:r>
      <w:bookmarkStart w:id="41" w:name="OLE_LINK61"/>
      <w:r>
        <w:rPr>
          <w:rFonts w:hint="eastAsia" w:ascii="仿宋_GB2312" w:hAnsi="仿宋_GB2312" w:cs="仿宋_GB2312"/>
        </w:rPr>
        <w:t>勘察</w:t>
      </w:r>
      <w:bookmarkEnd w:id="41"/>
      <w:r>
        <w:rPr>
          <w:rFonts w:hint="eastAsia" w:ascii="仿宋_GB2312" w:hAnsi="仿宋_GB2312" w:cs="仿宋_GB2312"/>
        </w:rPr>
        <w:t>、询问、复核等方式，对有关情况进行核实，对项目绩效目标实现程度及效果进行评价。</w:t>
      </w:r>
      <w:bookmarkEnd w:id="37"/>
      <w:bookmarkEnd w:id="38"/>
      <w:bookmarkEnd w:id="39"/>
      <w:bookmarkEnd w:id="40"/>
    </w:p>
    <w:p>
      <w:pPr>
        <w:widowControl/>
        <w:tabs>
          <w:tab w:val="left" w:pos="2740"/>
        </w:tabs>
        <w:adjustRightInd w:val="0"/>
        <w:snapToGrid w:val="0"/>
        <w:spacing w:line="440" w:lineRule="exact"/>
        <w:ind w:firstLine="600" w:firstLineChars="200"/>
        <w:jc w:val="left"/>
        <w:outlineLvl w:val="0"/>
        <w:rPr>
          <w:rFonts w:ascii="仿宋_GB2312" w:hAnsi="仿宋_GB2312" w:cs="仿宋_GB2312"/>
        </w:rPr>
      </w:pPr>
      <w:bookmarkStart w:id="42" w:name="_Toc5344"/>
      <w:bookmarkStart w:id="43" w:name="_Toc18266"/>
      <w:bookmarkStart w:id="44" w:name="_Toc24084"/>
      <w:bookmarkStart w:id="45" w:name="_Toc11525"/>
      <w:r>
        <w:rPr>
          <w:rFonts w:hint="eastAsia" w:ascii="仿宋_GB2312" w:hAnsi="仿宋_GB2312" w:cs="仿宋_GB2312"/>
        </w:rPr>
        <w:t>（4）问卷调查。评价工作组设计调查问卷，有重点的、科学的抽取必要数量的利益相关者进行调查，规范填制调查问卷。</w:t>
      </w:r>
      <w:bookmarkEnd w:id="42"/>
      <w:bookmarkEnd w:id="43"/>
      <w:bookmarkEnd w:id="44"/>
      <w:bookmarkEnd w:id="45"/>
    </w:p>
    <w:p>
      <w:pPr>
        <w:widowControl/>
        <w:tabs>
          <w:tab w:val="left" w:pos="2740"/>
        </w:tabs>
        <w:adjustRightInd w:val="0"/>
        <w:snapToGrid w:val="0"/>
        <w:spacing w:line="440" w:lineRule="exact"/>
        <w:ind w:firstLine="600" w:firstLineChars="200"/>
        <w:jc w:val="left"/>
        <w:outlineLvl w:val="0"/>
        <w:rPr>
          <w:rFonts w:ascii="仿宋_GB2312" w:hAnsi="仿宋_GB2312" w:cs="仿宋_GB2312"/>
        </w:rPr>
      </w:pPr>
      <w:bookmarkStart w:id="46" w:name="_Toc22978"/>
      <w:bookmarkStart w:id="47" w:name="_Toc8189"/>
      <w:bookmarkStart w:id="48" w:name="_Toc21046"/>
      <w:bookmarkStart w:id="49" w:name="_Toc20598"/>
      <w:r>
        <w:rPr>
          <w:rFonts w:hint="eastAsia" w:ascii="仿宋_GB2312" w:hAnsi="仿宋_GB2312" w:cs="仿宋_GB2312"/>
        </w:rPr>
        <w:t>（5）专家评价。由项目相关专业人员组成专业评价小组，听取工作组汇报前期工作成果，同工作组一起对评价项目进行打分，并提出专业意见。</w:t>
      </w:r>
      <w:bookmarkEnd w:id="46"/>
      <w:bookmarkEnd w:id="47"/>
      <w:bookmarkEnd w:id="48"/>
      <w:bookmarkEnd w:id="49"/>
    </w:p>
    <w:p>
      <w:pPr>
        <w:widowControl/>
        <w:tabs>
          <w:tab w:val="left" w:pos="2740"/>
        </w:tabs>
        <w:adjustRightInd w:val="0"/>
        <w:snapToGrid w:val="0"/>
        <w:spacing w:line="440" w:lineRule="exact"/>
        <w:ind w:firstLine="600" w:firstLineChars="200"/>
        <w:jc w:val="left"/>
        <w:outlineLvl w:val="0"/>
        <w:rPr>
          <w:rFonts w:ascii="仿宋_GB2312" w:hAnsi="仿宋_GB2312" w:cs="仿宋_GB2312"/>
        </w:rPr>
      </w:pPr>
      <w:bookmarkStart w:id="50" w:name="_Toc26990"/>
      <w:bookmarkStart w:id="51" w:name="_Toc32248"/>
      <w:bookmarkStart w:id="52" w:name="_Toc25772"/>
      <w:r>
        <w:rPr>
          <w:rFonts w:hint="eastAsia" w:ascii="仿宋_GB2312" w:hAnsi="仿宋_GB2312" w:cs="仿宋_GB2312"/>
        </w:rPr>
        <w:t>3、评价结果形成阶段</w:t>
      </w:r>
      <w:bookmarkEnd w:id="50"/>
      <w:bookmarkEnd w:id="51"/>
      <w:bookmarkEnd w:id="52"/>
      <w:bookmarkStart w:id="53" w:name="_Toc15627"/>
      <w:bookmarkStart w:id="54" w:name="_Toc6561"/>
      <w:bookmarkStart w:id="55" w:name="_Toc30111"/>
    </w:p>
    <w:p>
      <w:pPr>
        <w:widowControl/>
        <w:tabs>
          <w:tab w:val="left" w:pos="2740"/>
        </w:tabs>
        <w:adjustRightInd w:val="0"/>
        <w:snapToGrid w:val="0"/>
        <w:spacing w:line="440" w:lineRule="exact"/>
        <w:ind w:firstLine="600" w:firstLineChars="200"/>
        <w:jc w:val="left"/>
        <w:outlineLvl w:val="0"/>
        <w:rPr>
          <w:rFonts w:ascii="仿宋_GB2312" w:hAnsi="仿宋_GB2312" w:cs="仿宋_GB2312"/>
        </w:rPr>
      </w:pPr>
      <w:r>
        <w:rPr>
          <w:rFonts w:hint="eastAsia" w:ascii="仿宋_GB2312" w:hAnsi="仿宋_GB2312" w:cs="仿宋_GB2312"/>
        </w:rPr>
        <w:t>（1）撰写完成绩效评价报告初稿。绩效评价报告经评价工作组内部审核后，提交城阳区财政局征求意见，并根据有关意见修改完善。</w:t>
      </w:r>
      <w:bookmarkEnd w:id="53"/>
      <w:bookmarkEnd w:id="54"/>
      <w:bookmarkEnd w:id="55"/>
    </w:p>
    <w:p>
      <w:pPr>
        <w:widowControl/>
        <w:tabs>
          <w:tab w:val="left" w:pos="2740"/>
        </w:tabs>
        <w:adjustRightInd w:val="0"/>
        <w:snapToGrid w:val="0"/>
        <w:spacing w:line="440" w:lineRule="exact"/>
        <w:ind w:firstLine="600" w:firstLineChars="200"/>
        <w:jc w:val="left"/>
        <w:outlineLvl w:val="0"/>
        <w:rPr>
          <w:rFonts w:ascii="仿宋_GB2312" w:hAnsi="仿宋_GB2312" w:cs="仿宋_GB2312"/>
        </w:rPr>
      </w:pPr>
      <w:bookmarkStart w:id="56" w:name="_Toc30055"/>
      <w:bookmarkStart w:id="57" w:name="_Toc15895"/>
      <w:bookmarkStart w:id="58" w:name="_Toc789"/>
      <w:r>
        <w:rPr>
          <w:rFonts w:hint="eastAsia" w:ascii="仿宋_GB2312" w:hAnsi="仿宋_GB2312" w:cs="仿宋_GB2312"/>
        </w:rPr>
        <w:t>（2）向主管单位反馈评价意见和问题。评价工作组将形成的绩效评价报告初稿与主管部门进行书面沟通，要求其限时反馈。接到主管部门的反馈后，评价工作组根据反馈意见进行修改完善，形成最终绩效评价报告。</w:t>
      </w:r>
      <w:bookmarkEnd w:id="56"/>
      <w:bookmarkEnd w:id="57"/>
      <w:bookmarkEnd w:id="58"/>
    </w:p>
    <w:p>
      <w:pPr>
        <w:widowControl/>
        <w:tabs>
          <w:tab w:val="left" w:pos="2740"/>
        </w:tabs>
        <w:adjustRightInd w:val="0"/>
        <w:snapToGrid w:val="0"/>
        <w:spacing w:line="440" w:lineRule="exact"/>
        <w:ind w:firstLine="600" w:firstLineChars="200"/>
        <w:jc w:val="left"/>
        <w:outlineLvl w:val="0"/>
        <w:rPr>
          <w:rFonts w:ascii="仿宋_GB2312" w:hAnsi="仿宋_GB2312" w:cs="仿宋_GB2312"/>
        </w:rPr>
      </w:pPr>
      <w:bookmarkStart w:id="59" w:name="_Toc1685"/>
      <w:bookmarkStart w:id="60" w:name="_Toc29477"/>
      <w:bookmarkStart w:id="61" w:name="_Toc15412"/>
      <w:r>
        <w:rPr>
          <w:rFonts w:hint="eastAsia" w:ascii="仿宋_GB2312" w:hAnsi="仿宋_GB2312" w:cs="仿宋_GB2312"/>
        </w:rPr>
        <w:t>（3）报送绩效评价报告终稿、相关项目资料和工作底稿。评价工作组按照约定时间将绩效评价报告终稿、相关项目资料经评价工作组组长报送青岛市城阳区财政局。</w:t>
      </w:r>
      <w:bookmarkEnd w:id="59"/>
      <w:bookmarkEnd w:id="60"/>
      <w:bookmarkEnd w:id="61"/>
    </w:p>
    <w:p>
      <w:pPr>
        <w:spacing w:line="440" w:lineRule="exact"/>
        <w:ind w:firstLine="600" w:firstLineChars="200"/>
        <w:rPr>
          <w:rFonts w:ascii="仿宋_GB2312"/>
        </w:rPr>
      </w:pPr>
      <w:r>
        <w:rPr>
          <w:rFonts w:hint="eastAsia" w:ascii="黑体" w:hAnsi="黑体" w:eastAsia="黑体"/>
        </w:rPr>
        <w:t>三、综合评价情况及评价结论</w:t>
      </w:r>
    </w:p>
    <w:p>
      <w:pPr>
        <w:spacing w:line="440" w:lineRule="exact"/>
        <w:ind w:firstLine="663" w:firstLineChars="221"/>
        <w:rPr>
          <w:rFonts w:ascii="仿宋_GB2312" w:hAnsi="仿宋_GB2312" w:cs="仿宋_GB2312"/>
        </w:rPr>
      </w:pPr>
      <w:r>
        <w:rPr>
          <w:rFonts w:hint="eastAsia" w:ascii="楷体_GB2312" w:eastAsia="楷体_GB2312"/>
        </w:rPr>
        <w:t>（一）资金总体评价结论：</w:t>
      </w:r>
      <w:r>
        <w:rPr>
          <w:rFonts w:hint="eastAsia" w:ascii="仿宋_GB2312" w:hAnsi="仿宋_GB2312" w:cs="仿宋_GB2312"/>
        </w:rPr>
        <w:t>根据2022年度绩效评价指标体系，绩效评价工作组从决策、过程、产出、效果四个方面进行了评价打分和分析。该部门整体绩效评价得分为100分，等级为“优”。绩效得分整体情况如下表：</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9"/>
        <w:gridCol w:w="2049"/>
        <w:gridCol w:w="2050"/>
        <w:gridCol w:w="2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blHeader/>
        </w:trPr>
        <w:tc>
          <w:tcPr>
            <w:tcW w:w="2049" w:type="dxa"/>
            <w:shd w:val="clear" w:color="auto" w:fill="auto"/>
            <w:vAlign w:val="top"/>
          </w:tcPr>
          <w:p>
            <w:pPr>
              <w:widowControl/>
              <w:spacing w:line="440" w:lineRule="exact"/>
              <w:jc w:val="center"/>
              <w:rPr>
                <w:rFonts w:ascii="仿宋_GB2312" w:hAnsi="宋体" w:cs="黑体"/>
                <w:kern w:val="0"/>
                <w:sz w:val="21"/>
                <w:szCs w:val="21"/>
              </w:rPr>
            </w:pPr>
            <w:r>
              <w:rPr>
                <w:rFonts w:hint="eastAsia" w:ascii="仿宋_GB2312" w:hAnsi="宋体" w:cs="黑体"/>
                <w:kern w:val="0"/>
                <w:sz w:val="21"/>
                <w:szCs w:val="21"/>
              </w:rPr>
              <w:t>评价指标</w:t>
            </w:r>
          </w:p>
        </w:tc>
        <w:tc>
          <w:tcPr>
            <w:tcW w:w="2049" w:type="dxa"/>
            <w:shd w:val="clear" w:color="auto" w:fill="auto"/>
            <w:vAlign w:val="top"/>
          </w:tcPr>
          <w:p>
            <w:pPr>
              <w:widowControl/>
              <w:spacing w:line="440" w:lineRule="exact"/>
              <w:ind w:firstLine="54" w:firstLineChars="26"/>
              <w:jc w:val="center"/>
              <w:rPr>
                <w:rFonts w:ascii="仿宋_GB2312" w:hAnsi="宋体" w:cs="黑体"/>
                <w:kern w:val="0"/>
                <w:sz w:val="21"/>
                <w:szCs w:val="21"/>
              </w:rPr>
            </w:pPr>
            <w:r>
              <w:rPr>
                <w:rFonts w:hint="eastAsia" w:ascii="仿宋_GB2312" w:hAnsi="宋体" w:cs="黑体"/>
                <w:kern w:val="0"/>
                <w:sz w:val="21"/>
                <w:szCs w:val="21"/>
              </w:rPr>
              <w:t>赋分</w:t>
            </w:r>
          </w:p>
        </w:tc>
        <w:tc>
          <w:tcPr>
            <w:tcW w:w="2050" w:type="dxa"/>
            <w:shd w:val="clear" w:color="auto" w:fill="auto"/>
            <w:vAlign w:val="top"/>
          </w:tcPr>
          <w:p>
            <w:pPr>
              <w:widowControl/>
              <w:spacing w:line="440" w:lineRule="exact"/>
              <w:ind w:firstLine="8" w:firstLineChars="4"/>
              <w:jc w:val="center"/>
              <w:rPr>
                <w:rFonts w:ascii="仿宋_GB2312" w:hAnsi="宋体" w:cs="黑体"/>
                <w:kern w:val="0"/>
                <w:sz w:val="21"/>
                <w:szCs w:val="21"/>
              </w:rPr>
            </w:pPr>
            <w:r>
              <w:rPr>
                <w:rFonts w:hint="eastAsia" w:ascii="仿宋_GB2312" w:hAnsi="宋体" w:cs="黑体"/>
                <w:kern w:val="0"/>
                <w:sz w:val="21"/>
                <w:szCs w:val="21"/>
              </w:rPr>
              <w:t>得分</w:t>
            </w:r>
          </w:p>
        </w:tc>
        <w:tc>
          <w:tcPr>
            <w:tcW w:w="2050" w:type="dxa"/>
            <w:shd w:val="clear" w:color="auto" w:fill="auto"/>
            <w:vAlign w:val="top"/>
          </w:tcPr>
          <w:p>
            <w:pPr>
              <w:widowControl/>
              <w:spacing w:line="440" w:lineRule="exact"/>
              <w:jc w:val="center"/>
              <w:rPr>
                <w:rFonts w:ascii="仿宋_GB2312" w:hAnsi="宋体" w:cs="黑体"/>
                <w:kern w:val="0"/>
                <w:sz w:val="21"/>
                <w:szCs w:val="21"/>
              </w:rPr>
            </w:pPr>
            <w:r>
              <w:rPr>
                <w:rFonts w:hint="eastAsia" w:ascii="仿宋_GB2312" w:hAnsi="宋体" w:cs="黑体"/>
                <w:kern w:val="0"/>
                <w:sz w:val="21"/>
                <w:szCs w:val="21"/>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2049" w:type="dxa"/>
            <w:vAlign w:val="top"/>
          </w:tcPr>
          <w:p>
            <w:pPr>
              <w:widowControl/>
              <w:spacing w:line="440" w:lineRule="exact"/>
              <w:jc w:val="center"/>
              <w:rPr>
                <w:rFonts w:ascii="仿宋_GB2312" w:hAnsi="宋体" w:cs="黑体"/>
                <w:bCs/>
                <w:kern w:val="0"/>
                <w:sz w:val="21"/>
                <w:szCs w:val="21"/>
              </w:rPr>
            </w:pPr>
            <w:r>
              <w:rPr>
                <w:rFonts w:hint="eastAsia" w:ascii="仿宋_GB2312" w:hAnsi="宋体" w:cs="黑体"/>
                <w:bCs/>
                <w:kern w:val="0"/>
                <w:sz w:val="21"/>
                <w:szCs w:val="21"/>
              </w:rPr>
              <w:t>决策</w:t>
            </w:r>
          </w:p>
        </w:tc>
        <w:tc>
          <w:tcPr>
            <w:tcW w:w="2049" w:type="dxa"/>
            <w:vAlign w:val="top"/>
          </w:tcPr>
          <w:p>
            <w:pPr>
              <w:widowControl/>
              <w:spacing w:line="440" w:lineRule="exact"/>
              <w:ind w:firstLine="54" w:firstLineChars="26"/>
              <w:jc w:val="center"/>
              <w:textAlignment w:val="top"/>
              <w:rPr>
                <w:rFonts w:ascii="仿宋_GB2312" w:hAnsi="Cambria" w:cs="宋体"/>
                <w:kern w:val="0"/>
                <w:sz w:val="21"/>
                <w:szCs w:val="21"/>
              </w:rPr>
            </w:pPr>
            <w:r>
              <w:rPr>
                <w:rFonts w:hint="eastAsia" w:ascii="仿宋_GB2312" w:hAnsi="Cambria" w:cs="宋体"/>
                <w:kern w:val="0"/>
                <w:sz w:val="21"/>
                <w:szCs w:val="21"/>
              </w:rPr>
              <w:t>10</w:t>
            </w:r>
          </w:p>
        </w:tc>
        <w:tc>
          <w:tcPr>
            <w:tcW w:w="2050" w:type="dxa"/>
            <w:vAlign w:val="top"/>
          </w:tcPr>
          <w:p>
            <w:pPr>
              <w:widowControl/>
              <w:spacing w:line="440" w:lineRule="exact"/>
              <w:ind w:firstLine="8" w:firstLineChars="4"/>
              <w:jc w:val="center"/>
              <w:textAlignment w:val="top"/>
              <w:rPr>
                <w:rFonts w:ascii="仿宋_GB2312" w:hAnsi="Cambria" w:cs="宋体"/>
                <w:kern w:val="0"/>
                <w:sz w:val="21"/>
                <w:szCs w:val="21"/>
              </w:rPr>
            </w:pPr>
            <w:r>
              <w:rPr>
                <w:rFonts w:hint="eastAsia" w:ascii="仿宋_GB2312" w:hAnsi="Cambria" w:cs="宋体"/>
                <w:kern w:val="0"/>
                <w:sz w:val="21"/>
                <w:szCs w:val="21"/>
              </w:rPr>
              <w:t>10</w:t>
            </w:r>
          </w:p>
        </w:tc>
        <w:tc>
          <w:tcPr>
            <w:tcW w:w="2050" w:type="dxa"/>
            <w:vAlign w:val="top"/>
          </w:tcPr>
          <w:p>
            <w:pPr>
              <w:widowControl/>
              <w:spacing w:line="440" w:lineRule="exact"/>
              <w:jc w:val="center"/>
              <w:textAlignment w:val="top"/>
              <w:rPr>
                <w:rFonts w:ascii="仿宋_GB2312" w:hAnsi="Cambria" w:cs="宋体"/>
                <w:kern w:val="0"/>
                <w:sz w:val="21"/>
                <w:szCs w:val="21"/>
              </w:rPr>
            </w:pPr>
            <w:r>
              <w:rPr>
                <w:rFonts w:hint="eastAsia" w:ascii="仿宋_GB2312" w:hAnsi="Cambria" w:cs="宋体"/>
                <w:kern w:val="0"/>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2049" w:type="dxa"/>
            <w:vAlign w:val="top"/>
          </w:tcPr>
          <w:p>
            <w:pPr>
              <w:widowControl/>
              <w:spacing w:line="440" w:lineRule="exact"/>
              <w:jc w:val="center"/>
              <w:rPr>
                <w:rFonts w:ascii="仿宋_GB2312" w:hAnsi="宋体" w:cs="黑体"/>
                <w:bCs/>
                <w:kern w:val="0"/>
                <w:sz w:val="21"/>
                <w:szCs w:val="21"/>
              </w:rPr>
            </w:pPr>
            <w:r>
              <w:rPr>
                <w:rFonts w:hint="eastAsia" w:ascii="仿宋_GB2312" w:hAnsi="宋体" w:cs="黑体"/>
                <w:bCs/>
                <w:kern w:val="0"/>
                <w:sz w:val="21"/>
                <w:szCs w:val="21"/>
              </w:rPr>
              <w:t>过程</w:t>
            </w:r>
          </w:p>
        </w:tc>
        <w:tc>
          <w:tcPr>
            <w:tcW w:w="2049" w:type="dxa"/>
            <w:vAlign w:val="top"/>
          </w:tcPr>
          <w:p>
            <w:pPr>
              <w:widowControl/>
              <w:spacing w:line="440" w:lineRule="exact"/>
              <w:ind w:firstLine="54" w:firstLineChars="26"/>
              <w:jc w:val="center"/>
              <w:textAlignment w:val="top"/>
              <w:rPr>
                <w:rFonts w:ascii="仿宋_GB2312" w:hAnsi="Cambria" w:cs="宋体"/>
                <w:kern w:val="0"/>
                <w:sz w:val="21"/>
                <w:szCs w:val="21"/>
              </w:rPr>
            </w:pPr>
            <w:r>
              <w:rPr>
                <w:rFonts w:hint="eastAsia" w:ascii="仿宋_GB2312" w:hAnsi="Cambria" w:cs="宋体"/>
                <w:kern w:val="0"/>
                <w:sz w:val="21"/>
                <w:szCs w:val="21"/>
              </w:rPr>
              <w:t>25</w:t>
            </w:r>
          </w:p>
        </w:tc>
        <w:tc>
          <w:tcPr>
            <w:tcW w:w="2050" w:type="dxa"/>
            <w:vAlign w:val="top"/>
          </w:tcPr>
          <w:p>
            <w:pPr>
              <w:widowControl/>
              <w:spacing w:line="440" w:lineRule="exact"/>
              <w:ind w:firstLine="8" w:firstLineChars="4"/>
              <w:jc w:val="center"/>
              <w:textAlignment w:val="top"/>
              <w:rPr>
                <w:rFonts w:ascii="仿宋_GB2312" w:hAnsi="Cambria" w:cs="宋体"/>
                <w:kern w:val="0"/>
                <w:sz w:val="21"/>
                <w:szCs w:val="21"/>
              </w:rPr>
            </w:pPr>
            <w:r>
              <w:rPr>
                <w:rFonts w:hint="eastAsia" w:ascii="仿宋_GB2312" w:hAnsi="Cambria" w:cs="宋体"/>
                <w:kern w:val="0"/>
                <w:sz w:val="21"/>
                <w:szCs w:val="21"/>
              </w:rPr>
              <w:t>25</w:t>
            </w:r>
          </w:p>
        </w:tc>
        <w:tc>
          <w:tcPr>
            <w:tcW w:w="2050" w:type="dxa"/>
            <w:vAlign w:val="top"/>
          </w:tcPr>
          <w:p>
            <w:pPr>
              <w:widowControl/>
              <w:spacing w:line="440" w:lineRule="exact"/>
              <w:jc w:val="center"/>
              <w:textAlignment w:val="top"/>
              <w:rPr>
                <w:rFonts w:ascii="仿宋_GB2312" w:hAnsi="Cambria" w:cs="宋体"/>
                <w:kern w:val="0"/>
                <w:sz w:val="21"/>
                <w:szCs w:val="21"/>
              </w:rPr>
            </w:pPr>
            <w:r>
              <w:rPr>
                <w:rFonts w:hint="eastAsia" w:ascii="仿宋_GB2312" w:hAnsi="Cambria" w:cs="宋体"/>
                <w:kern w:val="0"/>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2049" w:type="dxa"/>
            <w:vAlign w:val="top"/>
          </w:tcPr>
          <w:p>
            <w:pPr>
              <w:widowControl/>
              <w:spacing w:line="440" w:lineRule="exact"/>
              <w:jc w:val="center"/>
              <w:rPr>
                <w:rFonts w:ascii="仿宋_GB2312" w:hAnsi="宋体" w:cs="黑体"/>
                <w:bCs/>
                <w:kern w:val="0"/>
                <w:sz w:val="21"/>
                <w:szCs w:val="21"/>
              </w:rPr>
            </w:pPr>
            <w:r>
              <w:rPr>
                <w:rFonts w:hint="eastAsia" w:ascii="仿宋_GB2312" w:hAnsi="宋体" w:cs="黑体"/>
                <w:bCs/>
                <w:kern w:val="0"/>
                <w:sz w:val="21"/>
                <w:szCs w:val="21"/>
              </w:rPr>
              <w:t>产出</w:t>
            </w:r>
          </w:p>
        </w:tc>
        <w:tc>
          <w:tcPr>
            <w:tcW w:w="2049" w:type="dxa"/>
            <w:vAlign w:val="top"/>
          </w:tcPr>
          <w:p>
            <w:pPr>
              <w:widowControl/>
              <w:spacing w:line="440" w:lineRule="exact"/>
              <w:ind w:firstLine="54" w:firstLineChars="26"/>
              <w:jc w:val="center"/>
              <w:textAlignment w:val="top"/>
              <w:rPr>
                <w:rFonts w:hint="default" w:ascii="仿宋_GB2312" w:hAnsi="Cambria" w:eastAsia="仿宋_GB2312" w:cs="宋体"/>
                <w:kern w:val="0"/>
                <w:sz w:val="21"/>
                <w:szCs w:val="21"/>
                <w:lang w:val="en-US" w:eastAsia="zh-CN"/>
              </w:rPr>
            </w:pPr>
            <w:r>
              <w:rPr>
                <w:rFonts w:hint="eastAsia" w:ascii="仿宋_GB2312" w:hAnsi="Cambria" w:cs="宋体"/>
                <w:kern w:val="0"/>
                <w:sz w:val="21"/>
                <w:szCs w:val="21"/>
                <w:lang w:val="en-US" w:eastAsia="zh-CN"/>
              </w:rPr>
              <w:t>30</w:t>
            </w:r>
          </w:p>
        </w:tc>
        <w:tc>
          <w:tcPr>
            <w:tcW w:w="2050" w:type="dxa"/>
            <w:vAlign w:val="top"/>
          </w:tcPr>
          <w:p>
            <w:pPr>
              <w:spacing w:line="440" w:lineRule="exact"/>
              <w:ind w:firstLine="8" w:firstLineChars="4"/>
              <w:jc w:val="center"/>
              <w:rPr>
                <w:rFonts w:hint="default" w:ascii="仿宋_GB2312" w:hAnsi="Cambria" w:eastAsia="仿宋_GB2312"/>
                <w:sz w:val="21"/>
                <w:szCs w:val="21"/>
                <w:lang w:val="en-US" w:eastAsia="zh-CN"/>
              </w:rPr>
            </w:pPr>
            <w:r>
              <w:rPr>
                <w:rFonts w:hint="eastAsia" w:ascii="仿宋_GB2312" w:hAnsi="Cambria" w:cs="宋体"/>
                <w:kern w:val="0"/>
                <w:sz w:val="21"/>
                <w:szCs w:val="21"/>
                <w:lang w:val="en-US" w:eastAsia="zh-CN"/>
              </w:rPr>
              <w:t>30</w:t>
            </w:r>
          </w:p>
        </w:tc>
        <w:tc>
          <w:tcPr>
            <w:tcW w:w="2050" w:type="dxa"/>
            <w:vAlign w:val="top"/>
          </w:tcPr>
          <w:p>
            <w:pPr>
              <w:widowControl/>
              <w:spacing w:line="440" w:lineRule="exact"/>
              <w:jc w:val="center"/>
              <w:textAlignment w:val="top"/>
              <w:rPr>
                <w:rFonts w:ascii="仿宋_GB2312" w:hAnsi="Cambria" w:cs="宋体"/>
                <w:kern w:val="0"/>
                <w:sz w:val="21"/>
                <w:szCs w:val="21"/>
              </w:rPr>
            </w:pPr>
            <w:r>
              <w:rPr>
                <w:rFonts w:hint="eastAsia" w:ascii="仿宋_GB2312" w:hAnsi="Cambria" w:cs="宋体"/>
                <w:kern w:val="0"/>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2049" w:type="dxa"/>
            <w:vAlign w:val="top"/>
          </w:tcPr>
          <w:p>
            <w:pPr>
              <w:widowControl/>
              <w:spacing w:line="440" w:lineRule="exact"/>
              <w:jc w:val="center"/>
              <w:rPr>
                <w:rFonts w:ascii="仿宋_GB2312" w:hAnsi="宋体" w:cs="黑体"/>
                <w:bCs/>
                <w:kern w:val="0"/>
                <w:sz w:val="21"/>
                <w:szCs w:val="21"/>
              </w:rPr>
            </w:pPr>
            <w:r>
              <w:rPr>
                <w:rFonts w:hint="eastAsia" w:ascii="仿宋_GB2312" w:hAnsi="宋体" w:cs="黑体"/>
                <w:bCs/>
                <w:kern w:val="0"/>
                <w:sz w:val="21"/>
                <w:szCs w:val="21"/>
              </w:rPr>
              <w:t>效果</w:t>
            </w:r>
          </w:p>
        </w:tc>
        <w:tc>
          <w:tcPr>
            <w:tcW w:w="2049" w:type="dxa"/>
            <w:vAlign w:val="top"/>
          </w:tcPr>
          <w:p>
            <w:pPr>
              <w:widowControl/>
              <w:spacing w:line="440" w:lineRule="exact"/>
              <w:ind w:firstLine="54" w:firstLineChars="26"/>
              <w:jc w:val="center"/>
              <w:textAlignment w:val="top"/>
              <w:rPr>
                <w:rFonts w:hint="default" w:ascii="仿宋_GB2312" w:hAnsi="Cambria" w:eastAsia="仿宋_GB2312" w:cs="宋体"/>
                <w:kern w:val="0"/>
                <w:sz w:val="21"/>
                <w:szCs w:val="21"/>
                <w:lang w:val="en-US" w:eastAsia="zh-CN"/>
              </w:rPr>
            </w:pPr>
            <w:r>
              <w:rPr>
                <w:rFonts w:hint="eastAsia" w:ascii="仿宋_GB2312" w:hAnsi="Cambria" w:cs="宋体"/>
                <w:kern w:val="0"/>
                <w:sz w:val="21"/>
                <w:szCs w:val="21"/>
                <w:lang w:val="en-US" w:eastAsia="zh-CN"/>
              </w:rPr>
              <w:t>35</w:t>
            </w:r>
          </w:p>
        </w:tc>
        <w:tc>
          <w:tcPr>
            <w:tcW w:w="2050" w:type="dxa"/>
            <w:vAlign w:val="top"/>
          </w:tcPr>
          <w:p>
            <w:pPr>
              <w:widowControl/>
              <w:spacing w:line="440" w:lineRule="exact"/>
              <w:ind w:firstLine="8" w:firstLineChars="4"/>
              <w:jc w:val="center"/>
              <w:textAlignment w:val="top"/>
              <w:rPr>
                <w:rFonts w:hint="default" w:ascii="仿宋_GB2312" w:hAnsi="Cambria" w:eastAsia="仿宋_GB2312" w:cs="宋体"/>
                <w:b/>
                <w:kern w:val="0"/>
                <w:sz w:val="21"/>
                <w:szCs w:val="21"/>
                <w:lang w:val="en-US" w:eastAsia="zh-CN"/>
              </w:rPr>
            </w:pPr>
            <w:r>
              <w:rPr>
                <w:rFonts w:hint="eastAsia" w:ascii="仿宋_GB2312" w:hAnsi="Cambria" w:cs="宋体"/>
                <w:kern w:val="0"/>
                <w:sz w:val="21"/>
                <w:szCs w:val="21"/>
                <w:lang w:val="en-US" w:eastAsia="zh-CN"/>
              </w:rPr>
              <w:t>35</w:t>
            </w:r>
          </w:p>
        </w:tc>
        <w:tc>
          <w:tcPr>
            <w:tcW w:w="2050" w:type="dxa"/>
            <w:vAlign w:val="top"/>
          </w:tcPr>
          <w:p>
            <w:pPr>
              <w:widowControl/>
              <w:spacing w:line="440" w:lineRule="exact"/>
              <w:jc w:val="center"/>
              <w:textAlignment w:val="top"/>
              <w:rPr>
                <w:rFonts w:ascii="仿宋_GB2312" w:hAnsi="Cambria" w:cs="宋体"/>
                <w:kern w:val="0"/>
                <w:sz w:val="21"/>
                <w:szCs w:val="21"/>
              </w:rPr>
            </w:pPr>
            <w:r>
              <w:rPr>
                <w:rFonts w:hint="eastAsia" w:ascii="仿宋_GB2312" w:hAnsi="Cambria" w:cs="宋体"/>
                <w:kern w:val="0"/>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2049" w:type="dxa"/>
            <w:vAlign w:val="top"/>
          </w:tcPr>
          <w:p>
            <w:pPr>
              <w:widowControl/>
              <w:spacing w:line="440" w:lineRule="exact"/>
              <w:jc w:val="center"/>
              <w:rPr>
                <w:rFonts w:ascii="仿宋_GB2312" w:hAnsi="宋体" w:cs="黑体"/>
                <w:bCs/>
                <w:kern w:val="0"/>
                <w:sz w:val="21"/>
                <w:szCs w:val="21"/>
              </w:rPr>
            </w:pPr>
            <w:r>
              <w:rPr>
                <w:rFonts w:hint="eastAsia" w:ascii="仿宋_GB2312" w:hAnsi="宋体" w:cs="黑体"/>
                <w:bCs/>
                <w:kern w:val="0"/>
                <w:sz w:val="21"/>
                <w:szCs w:val="21"/>
              </w:rPr>
              <w:t>整体绩效</w:t>
            </w:r>
          </w:p>
        </w:tc>
        <w:tc>
          <w:tcPr>
            <w:tcW w:w="2049" w:type="dxa"/>
            <w:vAlign w:val="top"/>
          </w:tcPr>
          <w:p>
            <w:pPr>
              <w:widowControl/>
              <w:spacing w:line="440" w:lineRule="exact"/>
              <w:ind w:firstLine="54" w:firstLineChars="26"/>
              <w:jc w:val="center"/>
              <w:textAlignment w:val="top"/>
              <w:rPr>
                <w:rFonts w:ascii="仿宋_GB2312" w:hAnsi="Cambria" w:cs="宋体"/>
                <w:kern w:val="0"/>
                <w:sz w:val="21"/>
                <w:szCs w:val="21"/>
              </w:rPr>
            </w:pPr>
            <w:r>
              <w:rPr>
                <w:rFonts w:hint="eastAsia" w:ascii="仿宋_GB2312" w:hAnsi="Cambria" w:cs="宋体"/>
                <w:kern w:val="0"/>
                <w:sz w:val="21"/>
                <w:szCs w:val="21"/>
              </w:rPr>
              <w:t>100</w:t>
            </w:r>
          </w:p>
        </w:tc>
        <w:tc>
          <w:tcPr>
            <w:tcW w:w="2050" w:type="dxa"/>
            <w:vAlign w:val="top"/>
          </w:tcPr>
          <w:p>
            <w:pPr>
              <w:widowControl/>
              <w:spacing w:line="440" w:lineRule="exact"/>
              <w:ind w:firstLine="8" w:firstLineChars="4"/>
              <w:jc w:val="center"/>
              <w:textAlignment w:val="top"/>
              <w:rPr>
                <w:rFonts w:ascii="仿宋_GB2312" w:hAnsi="Cambria" w:cs="宋体"/>
                <w:kern w:val="0"/>
                <w:sz w:val="21"/>
                <w:szCs w:val="21"/>
              </w:rPr>
            </w:pPr>
            <w:r>
              <w:rPr>
                <w:rFonts w:hint="eastAsia" w:ascii="仿宋_GB2312" w:hAnsi="Cambria" w:cs="宋体"/>
                <w:kern w:val="0"/>
                <w:sz w:val="21"/>
                <w:szCs w:val="21"/>
              </w:rPr>
              <w:t>100</w:t>
            </w:r>
          </w:p>
        </w:tc>
        <w:tc>
          <w:tcPr>
            <w:tcW w:w="2050" w:type="dxa"/>
            <w:vAlign w:val="top"/>
          </w:tcPr>
          <w:p>
            <w:pPr>
              <w:widowControl/>
              <w:spacing w:line="440" w:lineRule="exact"/>
              <w:jc w:val="center"/>
              <w:textAlignment w:val="top"/>
              <w:rPr>
                <w:rFonts w:ascii="仿宋_GB2312" w:hAnsi="Cambria" w:cs="宋体"/>
                <w:kern w:val="0"/>
                <w:sz w:val="21"/>
                <w:szCs w:val="21"/>
              </w:rPr>
            </w:pPr>
            <w:r>
              <w:rPr>
                <w:rFonts w:hint="eastAsia" w:ascii="仿宋_GB2312" w:hAnsi="Cambria" w:cs="宋体"/>
                <w:kern w:val="0"/>
                <w:sz w:val="21"/>
                <w:szCs w:val="21"/>
              </w:rPr>
              <w:t>100%</w:t>
            </w:r>
          </w:p>
        </w:tc>
      </w:tr>
    </w:tbl>
    <w:p>
      <w:pPr>
        <w:spacing w:line="440" w:lineRule="exact"/>
        <w:ind w:firstLine="600" w:firstLineChars="200"/>
        <w:outlineLvl w:val="0"/>
        <w:rPr>
          <w:rFonts w:ascii="楷体_GB2312" w:eastAsia="楷体_GB2312"/>
        </w:rPr>
      </w:pPr>
      <w:r>
        <w:rPr>
          <w:rFonts w:hint="eastAsia" w:ascii="楷体_GB2312" w:eastAsia="楷体_GB2312"/>
        </w:rPr>
        <w:t>（二）项目预算执行情况：</w:t>
      </w:r>
    </w:p>
    <w:p>
      <w:pPr>
        <w:spacing w:line="440" w:lineRule="exact"/>
        <w:ind w:firstLine="600" w:firstLineChars="200"/>
        <w:outlineLvl w:val="0"/>
        <w:rPr>
          <w:rFonts w:ascii="仿宋_GB2312" w:hAnsi="仿宋_GB2312" w:cs="仿宋_GB2312"/>
        </w:rPr>
      </w:pPr>
      <w:r>
        <w:rPr>
          <w:rFonts w:hint="eastAsia" w:ascii="仿宋_GB2312" w:hAnsi="仿宋_GB2312" w:cs="仿宋_GB2312"/>
        </w:rPr>
        <w:t>2022年初预算数0万元，调整后预算数1800万元，执行数1800万元，执行率100%。具体如下表：</w:t>
      </w:r>
    </w:p>
    <w:p>
      <w:pPr>
        <w:spacing w:line="440" w:lineRule="exact"/>
        <w:ind w:firstLine="600" w:firstLineChars="200"/>
        <w:outlineLvl w:val="0"/>
        <w:rPr>
          <w:rFonts w:ascii="仿宋_GB2312" w:hAnsi="仿宋_GB2312" w:cs="仿宋_GB2312"/>
        </w:rPr>
      </w:pPr>
    </w:p>
    <w:p>
      <w:pPr>
        <w:spacing w:line="440" w:lineRule="exact"/>
        <w:ind w:firstLine="600" w:firstLineChars="200"/>
        <w:outlineLvl w:val="0"/>
        <w:rPr>
          <w:rFonts w:ascii="楷体_GB2312" w:eastAsia="楷体_GB2312"/>
        </w:rPr>
      </w:pPr>
    </w:p>
    <w:tbl>
      <w:tblPr>
        <w:tblStyle w:val="12"/>
        <w:tblW w:w="10357" w:type="dxa"/>
        <w:jc w:val="center"/>
        <w:tblLayout w:type="autofit"/>
        <w:tblCellMar>
          <w:top w:w="0" w:type="dxa"/>
          <w:left w:w="108" w:type="dxa"/>
          <w:bottom w:w="0" w:type="dxa"/>
          <w:right w:w="108" w:type="dxa"/>
        </w:tblCellMar>
      </w:tblPr>
      <w:tblGrid>
        <w:gridCol w:w="567"/>
        <w:gridCol w:w="1843"/>
        <w:gridCol w:w="993"/>
        <w:gridCol w:w="850"/>
        <w:gridCol w:w="709"/>
        <w:gridCol w:w="1851"/>
        <w:gridCol w:w="851"/>
        <w:gridCol w:w="850"/>
        <w:gridCol w:w="992"/>
        <w:gridCol w:w="851"/>
      </w:tblGrid>
      <w:tr>
        <w:tblPrEx>
          <w:tblCellMar>
            <w:top w:w="0" w:type="dxa"/>
            <w:left w:w="108" w:type="dxa"/>
            <w:bottom w:w="0" w:type="dxa"/>
            <w:right w:w="108" w:type="dxa"/>
          </w:tblCellMar>
        </w:tblPrEx>
        <w:trPr>
          <w:trHeight w:val="623" w:hRule="atLeast"/>
          <w:jc w:val="center"/>
        </w:trPr>
        <w:tc>
          <w:tcPr>
            <w:tcW w:w="567"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spacing w:line="440" w:lineRule="exact"/>
              <w:jc w:val="center"/>
              <w:rPr>
                <w:rFonts w:ascii="仿宋_GB2312" w:hAnsi="Arial" w:cs="Arial"/>
                <w:bCs/>
                <w:color w:val="000000"/>
                <w:kern w:val="0"/>
                <w:sz w:val="24"/>
              </w:rPr>
            </w:pPr>
            <w:r>
              <w:rPr>
                <w:rFonts w:hint="eastAsia" w:ascii="仿宋_GB2312" w:hAnsi="Arial" w:cs="Arial"/>
                <w:bCs/>
                <w:color w:val="000000"/>
                <w:kern w:val="0"/>
                <w:sz w:val="24"/>
              </w:rPr>
              <w:t>序号</w:t>
            </w:r>
          </w:p>
        </w:tc>
        <w:tc>
          <w:tcPr>
            <w:tcW w:w="1843"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spacing w:line="440" w:lineRule="exact"/>
              <w:jc w:val="center"/>
              <w:rPr>
                <w:rFonts w:ascii="仿宋_GB2312" w:hAnsi="Arial" w:cs="Arial"/>
                <w:bCs/>
                <w:color w:val="000000"/>
                <w:kern w:val="0"/>
                <w:sz w:val="21"/>
                <w:szCs w:val="21"/>
              </w:rPr>
            </w:pPr>
            <w:r>
              <w:rPr>
                <w:rFonts w:hint="eastAsia" w:ascii="仿宋_GB2312" w:hAnsi="Arial" w:cs="Arial"/>
                <w:bCs/>
                <w:color w:val="000000"/>
                <w:kern w:val="0"/>
                <w:sz w:val="21"/>
                <w:szCs w:val="21"/>
              </w:rPr>
              <w:t>项目名称</w:t>
            </w:r>
          </w:p>
        </w:tc>
        <w:tc>
          <w:tcPr>
            <w:tcW w:w="2552"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440" w:lineRule="exact"/>
              <w:jc w:val="center"/>
              <w:rPr>
                <w:rFonts w:ascii="仿宋_GB2312" w:hAnsi="Arial" w:cs="Arial"/>
                <w:bCs/>
                <w:color w:val="000000"/>
                <w:kern w:val="0"/>
                <w:sz w:val="21"/>
                <w:szCs w:val="21"/>
              </w:rPr>
            </w:pPr>
            <w:r>
              <w:rPr>
                <w:rFonts w:hint="eastAsia" w:ascii="仿宋_GB2312" w:hAnsi="Arial" w:cs="Arial"/>
                <w:bCs/>
                <w:color w:val="000000"/>
                <w:kern w:val="0"/>
                <w:sz w:val="21"/>
                <w:szCs w:val="21"/>
              </w:rPr>
              <w:t>年初预算数</w:t>
            </w:r>
          </w:p>
        </w:tc>
        <w:tc>
          <w:tcPr>
            <w:tcW w:w="3552"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440" w:lineRule="exact"/>
              <w:jc w:val="center"/>
              <w:rPr>
                <w:rFonts w:ascii="仿宋_GB2312" w:hAnsi="Arial" w:cs="Arial"/>
                <w:bCs/>
                <w:color w:val="000000"/>
                <w:kern w:val="0"/>
                <w:sz w:val="21"/>
                <w:szCs w:val="21"/>
              </w:rPr>
            </w:pPr>
            <w:r>
              <w:rPr>
                <w:rFonts w:hint="eastAsia" w:ascii="仿宋_GB2312" w:hAnsi="Arial" w:cs="Arial"/>
                <w:bCs/>
                <w:color w:val="000000"/>
                <w:kern w:val="0"/>
                <w:sz w:val="21"/>
                <w:szCs w:val="21"/>
              </w:rPr>
              <w:t>调整后预算数</w:t>
            </w:r>
          </w:p>
        </w:tc>
        <w:tc>
          <w:tcPr>
            <w:tcW w:w="992"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spacing w:line="440" w:lineRule="exact"/>
              <w:jc w:val="center"/>
              <w:rPr>
                <w:rFonts w:ascii="仿宋_GB2312" w:hAnsi="Arial" w:cs="Arial"/>
                <w:bCs/>
                <w:color w:val="000000"/>
                <w:kern w:val="0"/>
                <w:sz w:val="21"/>
                <w:szCs w:val="21"/>
              </w:rPr>
            </w:pPr>
            <w:r>
              <w:rPr>
                <w:rFonts w:hint="eastAsia" w:ascii="仿宋_GB2312" w:hAnsi="Arial" w:cs="Arial"/>
                <w:bCs/>
                <w:color w:val="000000"/>
                <w:kern w:val="0"/>
                <w:sz w:val="21"/>
                <w:szCs w:val="21"/>
              </w:rPr>
              <w:t>预算执行数</w:t>
            </w:r>
          </w:p>
        </w:tc>
        <w:tc>
          <w:tcPr>
            <w:tcW w:w="851"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spacing w:line="440" w:lineRule="exact"/>
              <w:jc w:val="center"/>
              <w:rPr>
                <w:rFonts w:ascii="仿宋_GB2312" w:hAnsi="Arial" w:cs="Arial"/>
                <w:bCs/>
                <w:color w:val="000000"/>
                <w:kern w:val="0"/>
                <w:sz w:val="24"/>
              </w:rPr>
            </w:pPr>
            <w:r>
              <w:rPr>
                <w:rFonts w:hint="eastAsia" w:ascii="仿宋_GB2312" w:hAnsi="Arial" w:cs="Arial"/>
                <w:bCs/>
                <w:color w:val="000000"/>
                <w:kern w:val="0"/>
                <w:sz w:val="24"/>
              </w:rPr>
              <w:t>执行率</w:t>
            </w:r>
          </w:p>
        </w:tc>
      </w:tr>
      <w:tr>
        <w:tblPrEx>
          <w:tblCellMar>
            <w:top w:w="0" w:type="dxa"/>
            <w:left w:w="108" w:type="dxa"/>
            <w:bottom w:w="0" w:type="dxa"/>
            <w:right w:w="108" w:type="dxa"/>
          </w:tblCellMar>
        </w:tblPrEx>
        <w:trPr>
          <w:trHeight w:val="631" w:hRule="atLeast"/>
          <w:jc w:val="center"/>
        </w:trPr>
        <w:tc>
          <w:tcPr>
            <w:tcW w:w="567"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440" w:lineRule="exact"/>
              <w:jc w:val="left"/>
              <w:rPr>
                <w:rFonts w:ascii="仿宋_GB2312" w:hAnsi="Arial" w:cs="Arial"/>
                <w:b/>
                <w:bCs/>
                <w:color w:val="000000"/>
                <w:kern w:val="0"/>
                <w:sz w:val="24"/>
              </w:rPr>
            </w:pPr>
          </w:p>
        </w:tc>
        <w:tc>
          <w:tcPr>
            <w:tcW w:w="1843"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440" w:lineRule="exact"/>
              <w:jc w:val="left"/>
              <w:rPr>
                <w:rFonts w:ascii="仿宋_GB2312" w:hAnsi="Arial" w:cs="Arial"/>
                <w:b/>
                <w:bCs/>
                <w:color w:val="000000"/>
                <w:kern w:val="0"/>
                <w:sz w:val="24"/>
              </w:rPr>
            </w:pPr>
          </w:p>
        </w:tc>
        <w:tc>
          <w:tcPr>
            <w:tcW w:w="993" w:type="dxa"/>
            <w:tcBorders>
              <w:top w:val="nil"/>
              <w:left w:val="nil"/>
              <w:bottom w:val="single" w:color="auto" w:sz="4" w:space="0"/>
              <w:right w:val="single" w:color="auto" w:sz="4" w:space="0"/>
            </w:tcBorders>
            <w:shd w:val="clear" w:color="auto" w:fill="auto"/>
            <w:vAlign w:val="center"/>
          </w:tcPr>
          <w:p>
            <w:pPr>
              <w:widowControl/>
              <w:spacing w:line="440" w:lineRule="exact"/>
              <w:jc w:val="center"/>
              <w:rPr>
                <w:rFonts w:ascii="仿宋_GB2312" w:hAnsi="Arial" w:cs="Arial"/>
                <w:bCs/>
                <w:color w:val="000000"/>
                <w:kern w:val="0"/>
                <w:sz w:val="21"/>
                <w:szCs w:val="21"/>
              </w:rPr>
            </w:pPr>
            <w:r>
              <w:rPr>
                <w:rFonts w:hint="eastAsia" w:ascii="仿宋_GB2312" w:hAnsi="Arial" w:cs="Arial"/>
                <w:bCs/>
                <w:color w:val="000000"/>
                <w:kern w:val="0"/>
                <w:sz w:val="21"/>
                <w:szCs w:val="21"/>
              </w:rPr>
              <w:t>区本级</w:t>
            </w:r>
          </w:p>
        </w:tc>
        <w:tc>
          <w:tcPr>
            <w:tcW w:w="850" w:type="dxa"/>
            <w:tcBorders>
              <w:top w:val="nil"/>
              <w:left w:val="nil"/>
              <w:bottom w:val="single" w:color="auto" w:sz="4" w:space="0"/>
              <w:right w:val="single" w:color="auto" w:sz="4" w:space="0"/>
            </w:tcBorders>
            <w:shd w:val="clear" w:color="auto" w:fill="auto"/>
            <w:vAlign w:val="center"/>
          </w:tcPr>
          <w:p>
            <w:pPr>
              <w:widowControl/>
              <w:spacing w:line="440" w:lineRule="exact"/>
              <w:jc w:val="center"/>
              <w:rPr>
                <w:rFonts w:ascii="仿宋_GB2312" w:hAnsi="Arial" w:cs="Arial"/>
                <w:bCs/>
                <w:color w:val="000000"/>
                <w:kern w:val="0"/>
                <w:sz w:val="21"/>
                <w:szCs w:val="21"/>
              </w:rPr>
            </w:pPr>
            <w:r>
              <w:rPr>
                <w:rFonts w:hint="eastAsia" w:ascii="仿宋_GB2312" w:hAnsi="Arial" w:cs="Arial"/>
                <w:bCs/>
                <w:color w:val="000000"/>
                <w:kern w:val="0"/>
                <w:sz w:val="21"/>
                <w:szCs w:val="21"/>
              </w:rPr>
              <w:t>上级</w:t>
            </w:r>
          </w:p>
        </w:tc>
        <w:tc>
          <w:tcPr>
            <w:tcW w:w="709" w:type="dxa"/>
            <w:tcBorders>
              <w:top w:val="nil"/>
              <w:left w:val="nil"/>
              <w:bottom w:val="single" w:color="auto" w:sz="4" w:space="0"/>
              <w:right w:val="single" w:color="auto" w:sz="4" w:space="0"/>
            </w:tcBorders>
            <w:shd w:val="clear" w:color="auto" w:fill="auto"/>
            <w:vAlign w:val="center"/>
          </w:tcPr>
          <w:p>
            <w:pPr>
              <w:widowControl/>
              <w:spacing w:line="440" w:lineRule="exact"/>
              <w:jc w:val="center"/>
              <w:rPr>
                <w:rFonts w:ascii="仿宋_GB2312" w:hAnsi="Arial" w:cs="Arial"/>
                <w:bCs/>
                <w:color w:val="000000"/>
                <w:kern w:val="0"/>
                <w:sz w:val="21"/>
                <w:szCs w:val="21"/>
              </w:rPr>
            </w:pPr>
            <w:r>
              <w:rPr>
                <w:rFonts w:hint="eastAsia" w:ascii="仿宋_GB2312" w:hAnsi="Arial" w:cs="Arial"/>
                <w:bCs/>
                <w:color w:val="000000"/>
                <w:kern w:val="0"/>
                <w:sz w:val="21"/>
                <w:szCs w:val="21"/>
              </w:rPr>
              <w:t>其他</w:t>
            </w:r>
          </w:p>
        </w:tc>
        <w:tc>
          <w:tcPr>
            <w:tcW w:w="1851" w:type="dxa"/>
            <w:tcBorders>
              <w:top w:val="nil"/>
              <w:left w:val="nil"/>
              <w:bottom w:val="single" w:color="auto" w:sz="4" w:space="0"/>
              <w:right w:val="single" w:color="auto" w:sz="4" w:space="0"/>
            </w:tcBorders>
            <w:shd w:val="clear" w:color="auto" w:fill="auto"/>
            <w:vAlign w:val="center"/>
          </w:tcPr>
          <w:p>
            <w:pPr>
              <w:widowControl/>
              <w:spacing w:line="440" w:lineRule="exact"/>
              <w:jc w:val="center"/>
              <w:rPr>
                <w:rFonts w:ascii="仿宋_GB2312" w:hAnsi="Arial" w:cs="Arial"/>
                <w:bCs/>
                <w:color w:val="000000"/>
                <w:kern w:val="0"/>
                <w:sz w:val="21"/>
                <w:szCs w:val="21"/>
              </w:rPr>
            </w:pPr>
            <w:r>
              <w:rPr>
                <w:rFonts w:hint="eastAsia" w:ascii="仿宋_GB2312" w:hAnsi="Arial" w:cs="Arial"/>
                <w:bCs/>
                <w:color w:val="000000"/>
                <w:kern w:val="0"/>
                <w:sz w:val="21"/>
                <w:szCs w:val="21"/>
              </w:rPr>
              <w:t>区本级</w:t>
            </w:r>
          </w:p>
        </w:tc>
        <w:tc>
          <w:tcPr>
            <w:tcW w:w="851" w:type="dxa"/>
            <w:tcBorders>
              <w:top w:val="nil"/>
              <w:left w:val="nil"/>
              <w:bottom w:val="single" w:color="auto" w:sz="4" w:space="0"/>
              <w:right w:val="single" w:color="auto" w:sz="4" w:space="0"/>
            </w:tcBorders>
            <w:shd w:val="clear" w:color="auto" w:fill="auto"/>
            <w:vAlign w:val="center"/>
          </w:tcPr>
          <w:p>
            <w:pPr>
              <w:widowControl/>
              <w:spacing w:line="440" w:lineRule="exact"/>
              <w:jc w:val="center"/>
              <w:rPr>
                <w:rFonts w:ascii="仿宋_GB2312" w:hAnsi="Arial" w:cs="Arial"/>
                <w:bCs/>
                <w:color w:val="000000"/>
                <w:kern w:val="0"/>
                <w:sz w:val="21"/>
                <w:szCs w:val="21"/>
              </w:rPr>
            </w:pPr>
            <w:r>
              <w:rPr>
                <w:rFonts w:hint="eastAsia" w:ascii="仿宋_GB2312" w:hAnsi="Arial" w:cs="Arial"/>
                <w:bCs/>
                <w:color w:val="000000"/>
                <w:kern w:val="0"/>
                <w:sz w:val="21"/>
                <w:szCs w:val="21"/>
              </w:rPr>
              <w:t>上级</w:t>
            </w:r>
          </w:p>
        </w:tc>
        <w:tc>
          <w:tcPr>
            <w:tcW w:w="850" w:type="dxa"/>
            <w:tcBorders>
              <w:top w:val="nil"/>
              <w:left w:val="nil"/>
              <w:bottom w:val="single" w:color="auto" w:sz="4" w:space="0"/>
              <w:right w:val="single" w:color="auto" w:sz="4" w:space="0"/>
            </w:tcBorders>
            <w:shd w:val="clear" w:color="auto" w:fill="auto"/>
            <w:vAlign w:val="center"/>
          </w:tcPr>
          <w:p>
            <w:pPr>
              <w:widowControl/>
              <w:spacing w:line="440" w:lineRule="exact"/>
              <w:jc w:val="center"/>
              <w:rPr>
                <w:rFonts w:ascii="仿宋_GB2312" w:hAnsi="Arial" w:cs="Arial"/>
                <w:bCs/>
                <w:color w:val="000000"/>
                <w:kern w:val="0"/>
                <w:sz w:val="21"/>
                <w:szCs w:val="21"/>
              </w:rPr>
            </w:pPr>
            <w:r>
              <w:rPr>
                <w:rFonts w:hint="eastAsia" w:ascii="仿宋_GB2312" w:hAnsi="Arial" w:cs="Arial"/>
                <w:bCs/>
                <w:color w:val="000000"/>
                <w:kern w:val="0"/>
                <w:sz w:val="21"/>
                <w:szCs w:val="21"/>
              </w:rPr>
              <w:t>其他</w:t>
            </w:r>
          </w:p>
        </w:tc>
        <w:tc>
          <w:tcPr>
            <w:tcW w:w="992"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440" w:lineRule="exact"/>
              <w:jc w:val="left"/>
              <w:rPr>
                <w:rFonts w:ascii="仿宋_GB2312" w:hAnsi="Arial" w:cs="Arial"/>
                <w:b/>
                <w:bCs/>
                <w:color w:val="000000"/>
                <w:kern w:val="0"/>
                <w:sz w:val="24"/>
              </w:rPr>
            </w:pPr>
          </w:p>
        </w:tc>
        <w:tc>
          <w:tcPr>
            <w:tcW w:w="851"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440" w:lineRule="exact"/>
              <w:jc w:val="left"/>
              <w:rPr>
                <w:rFonts w:ascii="仿宋_GB2312" w:hAnsi="Arial" w:cs="Arial"/>
                <w:b/>
                <w:bCs/>
                <w:color w:val="000000"/>
                <w:kern w:val="0"/>
                <w:sz w:val="24"/>
              </w:rPr>
            </w:pPr>
          </w:p>
        </w:tc>
      </w:tr>
      <w:tr>
        <w:tblPrEx>
          <w:tblCellMar>
            <w:top w:w="0" w:type="dxa"/>
            <w:left w:w="108" w:type="dxa"/>
            <w:bottom w:w="0" w:type="dxa"/>
            <w:right w:w="108" w:type="dxa"/>
          </w:tblCellMar>
        </w:tblPrEx>
        <w:trPr>
          <w:trHeight w:val="495" w:hRule="atLeast"/>
          <w:jc w:val="center"/>
        </w:trPr>
        <w:tc>
          <w:tcPr>
            <w:tcW w:w="567" w:type="dxa"/>
            <w:tcBorders>
              <w:top w:val="nil"/>
              <w:left w:val="single" w:color="auto" w:sz="4" w:space="0"/>
              <w:bottom w:val="single" w:color="auto" w:sz="4" w:space="0"/>
              <w:right w:val="single" w:color="auto" w:sz="4" w:space="0"/>
            </w:tcBorders>
            <w:shd w:val="clear" w:color="auto" w:fill="auto"/>
            <w:noWrap/>
            <w:vAlign w:val="center"/>
          </w:tcPr>
          <w:p>
            <w:pPr>
              <w:widowControl/>
              <w:spacing w:line="440" w:lineRule="exact"/>
              <w:jc w:val="center"/>
              <w:rPr>
                <w:rFonts w:ascii="仿宋_GB2312" w:hAnsi="Arial" w:cs="Arial"/>
                <w:color w:val="000000"/>
                <w:kern w:val="0"/>
                <w:sz w:val="21"/>
                <w:szCs w:val="21"/>
              </w:rPr>
            </w:pPr>
            <w:r>
              <w:rPr>
                <w:rFonts w:hint="eastAsia" w:ascii="仿宋_GB2312" w:hAnsi="Arial" w:cs="Arial"/>
                <w:color w:val="000000"/>
                <w:kern w:val="0"/>
                <w:sz w:val="21"/>
                <w:szCs w:val="21"/>
              </w:rPr>
              <w:t>1</w:t>
            </w:r>
          </w:p>
        </w:tc>
        <w:tc>
          <w:tcPr>
            <w:tcW w:w="1843" w:type="dxa"/>
            <w:tcBorders>
              <w:top w:val="nil"/>
              <w:left w:val="nil"/>
              <w:bottom w:val="single" w:color="auto" w:sz="4" w:space="0"/>
              <w:right w:val="single" w:color="auto" w:sz="4" w:space="0"/>
            </w:tcBorders>
            <w:shd w:val="clear" w:color="auto" w:fill="auto"/>
            <w:noWrap/>
            <w:vAlign w:val="center"/>
          </w:tcPr>
          <w:p>
            <w:pPr>
              <w:widowControl/>
              <w:spacing w:line="440" w:lineRule="exact"/>
              <w:rPr>
                <w:rFonts w:ascii="仿宋_GB2312" w:hAnsi="宋体" w:cs="Arial"/>
                <w:kern w:val="0"/>
                <w:sz w:val="18"/>
                <w:szCs w:val="18"/>
              </w:rPr>
            </w:pPr>
            <w:r>
              <w:rPr>
                <w:rFonts w:hint="eastAsia" w:ascii="仿宋_GB2312" w:hAnsi="宋体" w:cs="Arial"/>
                <w:kern w:val="0"/>
                <w:sz w:val="18"/>
                <w:szCs w:val="18"/>
              </w:rPr>
              <w:t>2022年区法院诉讼服务中心配套及智能化建设项目</w:t>
            </w:r>
          </w:p>
        </w:tc>
        <w:tc>
          <w:tcPr>
            <w:tcW w:w="993" w:type="dxa"/>
            <w:tcBorders>
              <w:top w:val="nil"/>
              <w:left w:val="nil"/>
              <w:bottom w:val="single" w:color="auto" w:sz="4" w:space="0"/>
              <w:right w:val="single" w:color="auto" w:sz="4" w:space="0"/>
            </w:tcBorders>
            <w:shd w:val="clear" w:color="auto" w:fill="auto"/>
            <w:noWrap/>
            <w:vAlign w:val="center"/>
          </w:tcPr>
          <w:p>
            <w:pPr>
              <w:widowControl/>
              <w:spacing w:line="440" w:lineRule="exact"/>
              <w:jc w:val="center"/>
              <w:rPr>
                <w:rFonts w:ascii="仿宋_GB2312" w:hAnsi="Arial" w:cs="Arial"/>
                <w:kern w:val="0"/>
                <w:sz w:val="21"/>
                <w:szCs w:val="21"/>
              </w:rPr>
            </w:pPr>
            <w:r>
              <w:rPr>
                <w:rFonts w:hint="eastAsia" w:ascii="仿宋_GB2312" w:hAnsi="Arial" w:cs="Arial"/>
                <w:kern w:val="0"/>
                <w:sz w:val="21"/>
                <w:szCs w:val="21"/>
              </w:rPr>
              <w:t>0</w:t>
            </w:r>
          </w:p>
        </w:tc>
        <w:tc>
          <w:tcPr>
            <w:tcW w:w="850" w:type="dxa"/>
            <w:tcBorders>
              <w:top w:val="nil"/>
              <w:left w:val="nil"/>
              <w:bottom w:val="single" w:color="auto" w:sz="4" w:space="0"/>
              <w:right w:val="single" w:color="auto" w:sz="4" w:space="0"/>
            </w:tcBorders>
            <w:shd w:val="clear" w:color="auto" w:fill="auto"/>
            <w:noWrap/>
            <w:vAlign w:val="center"/>
          </w:tcPr>
          <w:p>
            <w:pPr>
              <w:widowControl/>
              <w:spacing w:line="440" w:lineRule="exact"/>
              <w:jc w:val="both"/>
              <w:rPr>
                <w:rFonts w:ascii="仿宋_GB2312" w:hAnsi="Arial" w:cs="Arial"/>
                <w:kern w:val="0"/>
                <w:sz w:val="21"/>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spacing w:line="440" w:lineRule="exact"/>
              <w:jc w:val="both"/>
              <w:rPr>
                <w:rFonts w:ascii="仿宋_GB2312" w:hAnsi="Arial" w:cs="Arial"/>
                <w:kern w:val="0"/>
                <w:sz w:val="21"/>
                <w:szCs w:val="21"/>
              </w:rPr>
            </w:pPr>
          </w:p>
        </w:tc>
        <w:tc>
          <w:tcPr>
            <w:tcW w:w="1851" w:type="dxa"/>
            <w:tcBorders>
              <w:top w:val="nil"/>
              <w:left w:val="nil"/>
              <w:bottom w:val="single" w:color="auto" w:sz="4" w:space="0"/>
              <w:right w:val="single" w:color="auto" w:sz="4" w:space="0"/>
            </w:tcBorders>
            <w:shd w:val="clear" w:color="auto" w:fill="auto"/>
            <w:noWrap/>
            <w:vAlign w:val="center"/>
          </w:tcPr>
          <w:p>
            <w:pPr>
              <w:widowControl/>
              <w:spacing w:line="440" w:lineRule="exact"/>
              <w:ind w:firstLine="630" w:firstLineChars="300"/>
              <w:jc w:val="both"/>
              <w:rPr>
                <w:rFonts w:ascii="仿宋_GB2312" w:hAnsi="Arial" w:cs="Arial"/>
                <w:kern w:val="0"/>
                <w:sz w:val="21"/>
                <w:szCs w:val="21"/>
              </w:rPr>
            </w:pPr>
            <w:r>
              <w:rPr>
                <w:rFonts w:hint="eastAsia" w:ascii="仿宋_GB2312" w:hAnsi="Arial" w:cs="Arial"/>
                <w:kern w:val="0"/>
                <w:sz w:val="21"/>
                <w:szCs w:val="21"/>
              </w:rPr>
              <w:t>1800</w:t>
            </w:r>
          </w:p>
        </w:tc>
        <w:tc>
          <w:tcPr>
            <w:tcW w:w="851" w:type="dxa"/>
            <w:tcBorders>
              <w:top w:val="nil"/>
              <w:left w:val="nil"/>
              <w:bottom w:val="single" w:color="auto" w:sz="4" w:space="0"/>
              <w:right w:val="single" w:color="auto" w:sz="4" w:space="0"/>
            </w:tcBorders>
            <w:shd w:val="clear" w:color="auto" w:fill="auto"/>
            <w:noWrap/>
            <w:vAlign w:val="center"/>
          </w:tcPr>
          <w:p>
            <w:pPr>
              <w:widowControl/>
              <w:spacing w:line="440" w:lineRule="exact"/>
              <w:jc w:val="both"/>
              <w:rPr>
                <w:rFonts w:ascii="仿宋_GB2312" w:hAnsi="Arial" w:cs="Arial"/>
                <w:kern w:val="0"/>
                <w:sz w:val="21"/>
                <w:szCs w:val="21"/>
              </w:rPr>
            </w:pPr>
          </w:p>
        </w:tc>
        <w:tc>
          <w:tcPr>
            <w:tcW w:w="850" w:type="dxa"/>
            <w:tcBorders>
              <w:top w:val="nil"/>
              <w:left w:val="nil"/>
              <w:bottom w:val="single" w:color="auto" w:sz="4" w:space="0"/>
              <w:right w:val="single" w:color="auto" w:sz="4" w:space="0"/>
            </w:tcBorders>
            <w:shd w:val="clear" w:color="auto" w:fill="auto"/>
            <w:noWrap/>
            <w:vAlign w:val="center"/>
          </w:tcPr>
          <w:p>
            <w:pPr>
              <w:widowControl/>
              <w:spacing w:line="440" w:lineRule="exact"/>
              <w:jc w:val="both"/>
              <w:rPr>
                <w:rFonts w:ascii="仿宋_GB2312" w:hAnsi="Arial" w:cs="Arial"/>
                <w:kern w:val="0"/>
                <w:sz w:val="21"/>
                <w:szCs w:val="21"/>
              </w:rPr>
            </w:pPr>
          </w:p>
        </w:tc>
        <w:tc>
          <w:tcPr>
            <w:tcW w:w="992" w:type="dxa"/>
            <w:tcBorders>
              <w:top w:val="nil"/>
              <w:left w:val="nil"/>
              <w:bottom w:val="single" w:color="auto" w:sz="4" w:space="0"/>
              <w:right w:val="single" w:color="auto" w:sz="4" w:space="0"/>
            </w:tcBorders>
            <w:shd w:val="clear" w:color="auto" w:fill="auto"/>
            <w:noWrap/>
            <w:vAlign w:val="center"/>
          </w:tcPr>
          <w:p>
            <w:pPr>
              <w:widowControl/>
              <w:spacing w:line="440" w:lineRule="exact"/>
              <w:ind w:firstLine="210" w:firstLineChars="100"/>
              <w:jc w:val="both"/>
              <w:rPr>
                <w:rFonts w:ascii="仿宋_GB2312" w:hAnsi="Arial" w:cs="Arial"/>
                <w:kern w:val="0"/>
                <w:sz w:val="21"/>
                <w:szCs w:val="21"/>
              </w:rPr>
            </w:pPr>
            <w:r>
              <w:rPr>
                <w:rFonts w:hint="eastAsia" w:ascii="仿宋_GB2312" w:hAnsi="Arial" w:cs="Arial"/>
                <w:kern w:val="0"/>
                <w:sz w:val="21"/>
                <w:szCs w:val="21"/>
              </w:rPr>
              <w:t>1800</w:t>
            </w:r>
          </w:p>
        </w:tc>
        <w:tc>
          <w:tcPr>
            <w:tcW w:w="851" w:type="dxa"/>
            <w:tcBorders>
              <w:top w:val="nil"/>
              <w:left w:val="nil"/>
              <w:bottom w:val="single" w:color="auto" w:sz="4" w:space="0"/>
              <w:right w:val="single" w:color="auto" w:sz="4" w:space="0"/>
            </w:tcBorders>
            <w:shd w:val="clear" w:color="auto" w:fill="auto"/>
            <w:noWrap/>
            <w:vAlign w:val="center"/>
          </w:tcPr>
          <w:p>
            <w:pPr>
              <w:widowControl/>
              <w:spacing w:line="440" w:lineRule="exact"/>
              <w:jc w:val="both"/>
              <w:rPr>
                <w:rFonts w:ascii="仿宋_GB2312" w:hAnsi="Arial" w:cs="Arial"/>
                <w:kern w:val="0"/>
                <w:sz w:val="21"/>
                <w:szCs w:val="21"/>
              </w:rPr>
            </w:pPr>
            <w:r>
              <w:rPr>
                <w:rFonts w:hint="eastAsia" w:ascii="仿宋_GB2312" w:hAnsi="Arial" w:cs="Arial"/>
                <w:kern w:val="0"/>
                <w:sz w:val="21"/>
                <w:szCs w:val="21"/>
              </w:rPr>
              <w:t>100%</w:t>
            </w:r>
          </w:p>
        </w:tc>
      </w:tr>
    </w:tbl>
    <w:p>
      <w:pPr>
        <w:spacing w:line="440" w:lineRule="exact"/>
        <w:ind w:firstLine="600" w:firstLineChars="200"/>
        <w:rPr>
          <w:rFonts w:ascii="黑体" w:hAnsi="黑体" w:eastAsia="黑体"/>
        </w:rPr>
      </w:pPr>
      <w:r>
        <w:rPr>
          <w:rFonts w:hint="eastAsia" w:ascii="黑体" w:hAnsi="黑体" w:eastAsia="黑体"/>
        </w:rPr>
        <w:t>四、绩效评价指标分析</w:t>
      </w:r>
    </w:p>
    <w:p>
      <w:pPr>
        <w:spacing w:line="440" w:lineRule="exact"/>
        <w:ind w:firstLine="600" w:firstLineChars="200"/>
        <w:outlineLvl w:val="0"/>
        <w:rPr>
          <w:rFonts w:ascii="楷体_GB2312" w:eastAsia="楷体_GB2312"/>
        </w:rPr>
      </w:pPr>
      <w:r>
        <w:rPr>
          <w:rFonts w:hint="eastAsia" w:ascii="楷体_GB2312" w:eastAsia="楷体_GB2312"/>
        </w:rPr>
        <w:t>（一）项目决策情况</w:t>
      </w:r>
    </w:p>
    <w:p>
      <w:pPr>
        <w:widowControl/>
        <w:tabs>
          <w:tab w:val="left" w:pos="2740"/>
        </w:tabs>
        <w:adjustRightInd w:val="0"/>
        <w:snapToGrid w:val="0"/>
        <w:spacing w:line="440" w:lineRule="exact"/>
        <w:ind w:firstLine="600" w:firstLineChars="200"/>
        <w:jc w:val="left"/>
        <w:outlineLvl w:val="0"/>
        <w:rPr>
          <w:rFonts w:hint="default" w:ascii="仿宋_GB2312" w:hAnsi="仿宋_GB2312" w:cs="仿宋_GB2312"/>
          <w:lang w:val="en-US" w:eastAsia="zh-CN"/>
        </w:rPr>
      </w:pPr>
      <w:r>
        <w:rPr>
          <w:rFonts w:hint="eastAsia" w:ascii="仿宋_GB2312" w:hAnsi="仿宋_GB2312" w:cs="仿宋_GB2312"/>
          <w:lang w:val="en-US" w:eastAsia="zh-CN"/>
        </w:rPr>
        <w:t>1、项目立项</w:t>
      </w:r>
    </w:p>
    <w:p>
      <w:pPr>
        <w:widowControl/>
        <w:tabs>
          <w:tab w:val="left" w:pos="2740"/>
        </w:tabs>
        <w:adjustRightInd w:val="0"/>
        <w:snapToGrid w:val="0"/>
        <w:spacing w:line="440" w:lineRule="exact"/>
        <w:ind w:firstLine="600" w:firstLineChars="200"/>
        <w:jc w:val="left"/>
        <w:outlineLvl w:val="0"/>
        <w:rPr>
          <w:rFonts w:hint="eastAsia" w:ascii="仿宋_GB2312" w:hAnsi="仿宋_GB2312" w:cs="仿宋_GB2312"/>
          <w:lang w:val="en-US" w:eastAsia="zh-CN"/>
        </w:rPr>
      </w:pPr>
      <w:r>
        <w:rPr>
          <w:rFonts w:hint="eastAsia" w:ascii="仿宋_GB2312" w:hAnsi="仿宋_GB2312" w:cs="仿宋_GB2312"/>
          <w:lang w:val="en-US" w:eastAsia="zh-CN"/>
        </w:rPr>
        <w:t>该二级指标</w:t>
      </w:r>
      <w:r>
        <w:rPr>
          <w:rFonts w:hint="default" w:ascii="仿宋_GB2312" w:hAnsi="仿宋_GB2312" w:cs="仿宋_GB2312"/>
          <w:lang w:val="en-US" w:eastAsia="zh-CN"/>
        </w:rPr>
        <w:t>包括政策设立依据的充分性</w:t>
      </w:r>
      <w:r>
        <w:rPr>
          <w:rFonts w:hint="eastAsia" w:ascii="仿宋_GB2312" w:hAnsi="仿宋_GB2312" w:cs="仿宋_GB2312"/>
          <w:lang w:val="en-US" w:eastAsia="zh-CN"/>
        </w:rPr>
        <w:t>、</w:t>
      </w:r>
      <w:r>
        <w:rPr>
          <w:rFonts w:hint="default" w:ascii="仿宋_GB2312" w:hAnsi="仿宋_GB2312" w:cs="仿宋_GB2312"/>
          <w:lang w:val="en-US" w:eastAsia="zh-CN"/>
        </w:rPr>
        <w:t>立项程序规范性</w:t>
      </w:r>
      <w:r>
        <w:rPr>
          <w:rFonts w:hint="eastAsia" w:ascii="仿宋_GB2312" w:hAnsi="仿宋_GB2312" w:cs="仿宋_GB2312"/>
          <w:lang w:val="en-US" w:eastAsia="zh-CN"/>
        </w:rPr>
        <w:t>2</w:t>
      </w:r>
      <w:r>
        <w:rPr>
          <w:rFonts w:hint="default" w:ascii="仿宋_GB2312" w:hAnsi="仿宋_GB2312" w:cs="仿宋_GB2312"/>
          <w:lang w:val="en-US" w:eastAsia="zh-CN"/>
        </w:rPr>
        <w:t>个三级指标</w:t>
      </w:r>
      <w:r>
        <w:rPr>
          <w:rFonts w:hint="eastAsia" w:ascii="仿宋_GB2312" w:hAnsi="仿宋_GB2312" w:cs="仿宋_GB2312"/>
          <w:lang w:val="en-US" w:eastAsia="zh-CN"/>
        </w:rPr>
        <w:t>。</w:t>
      </w:r>
    </w:p>
    <w:p>
      <w:pPr>
        <w:widowControl/>
        <w:tabs>
          <w:tab w:val="left" w:pos="2740"/>
        </w:tabs>
        <w:adjustRightInd w:val="0"/>
        <w:snapToGrid w:val="0"/>
        <w:spacing w:line="440" w:lineRule="exact"/>
        <w:ind w:firstLine="600" w:firstLineChars="200"/>
        <w:jc w:val="left"/>
        <w:outlineLvl w:val="0"/>
        <w:rPr>
          <w:rFonts w:hint="eastAsia" w:ascii="仿宋_GB2312" w:hAnsi="仿宋_GB2312" w:cs="仿宋_GB2312"/>
          <w:lang w:val="en-US" w:eastAsia="zh-CN"/>
        </w:rPr>
      </w:pPr>
      <w:r>
        <w:rPr>
          <w:rFonts w:hint="eastAsia" w:ascii="仿宋_GB2312" w:hAnsi="仿宋_GB2312" w:cs="仿宋_GB2312"/>
          <w:lang w:val="en-US" w:eastAsia="zh-CN"/>
        </w:rPr>
        <w:t>（1）立项依据充分性（1分）</w:t>
      </w:r>
    </w:p>
    <w:p>
      <w:pPr>
        <w:widowControl/>
        <w:tabs>
          <w:tab w:val="left" w:pos="2740"/>
        </w:tabs>
        <w:adjustRightInd w:val="0"/>
        <w:snapToGrid w:val="0"/>
        <w:spacing w:line="440" w:lineRule="exact"/>
        <w:ind w:firstLine="600" w:firstLineChars="200"/>
        <w:jc w:val="left"/>
        <w:outlineLvl w:val="0"/>
        <w:rPr>
          <w:rFonts w:hint="default" w:ascii="仿宋_GB2312" w:hAnsi="仿宋_GB2312" w:cs="仿宋_GB2312"/>
          <w:lang w:val="en-US" w:eastAsia="zh-CN"/>
        </w:rPr>
      </w:pPr>
      <w:r>
        <w:rPr>
          <w:rFonts w:hint="default" w:ascii="仿宋_GB2312" w:hAnsi="仿宋_GB2312" w:cs="仿宋_GB2312"/>
          <w:lang w:val="en-US" w:eastAsia="zh-CN"/>
        </w:rPr>
        <w:t>项目立项符合法律法规、相关政策、发展规划以及部门职责，</w:t>
      </w:r>
      <w:r>
        <w:rPr>
          <w:rFonts w:hint="eastAsia" w:ascii="仿宋_GB2312" w:hAnsi="仿宋_GB2312" w:cs="仿宋_GB2312"/>
          <w:lang w:val="en-US" w:eastAsia="zh-CN"/>
        </w:rPr>
        <w:t>项目属于</w:t>
      </w:r>
      <w:r>
        <w:rPr>
          <w:rFonts w:hint="default" w:ascii="仿宋_GB2312" w:hAnsi="仿宋_GB2312" w:cs="仿宋_GB2312"/>
          <w:lang w:val="en-US" w:eastAsia="zh-CN"/>
        </w:rPr>
        <w:t>公共财政支持范围</w:t>
      </w:r>
      <w:r>
        <w:rPr>
          <w:rFonts w:hint="eastAsia" w:ascii="仿宋_GB2312" w:hAnsi="仿宋_GB2312" w:cs="仿宋_GB2312"/>
          <w:lang w:val="en-US" w:eastAsia="zh-CN"/>
        </w:rPr>
        <w:t>，与部门同类项目或部门内部相关项目不重复。立项依据充分合理。根据评分标准，该项得1分。</w:t>
      </w:r>
    </w:p>
    <w:p>
      <w:pPr>
        <w:widowControl/>
        <w:tabs>
          <w:tab w:val="left" w:pos="2740"/>
        </w:tabs>
        <w:adjustRightInd w:val="0"/>
        <w:snapToGrid w:val="0"/>
        <w:spacing w:line="440" w:lineRule="exact"/>
        <w:ind w:firstLine="600" w:firstLineChars="200"/>
        <w:jc w:val="left"/>
        <w:outlineLvl w:val="0"/>
        <w:rPr>
          <w:rFonts w:hint="eastAsia" w:ascii="仿宋_GB2312" w:hAnsi="仿宋_GB2312" w:cs="仿宋_GB2312"/>
          <w:lang w:val="en-US" w:eastAsia="zh-CN"/>
        </w:rPr>
      </w:pPr>
      <w:r>
        <w:rPr>
          <w:rFonts w:hint="eastAsia" w:ascii="仿宋_GB2312" w:hAnsi="仿宋_GB2312" w:cs="仿宋_GB2312"/>
          <w:lang w:val="en-US" w:eastAsia="zh-CN"/>
        </w:rPr>
        <w:t>（2）立项程序规范性（1分）</w:t>
      </w:r>
    </w:p>
    <w:p>
      <w:pPr>
        <w:widowControl/>
        <w:tabs>
          <w:tab w:val="left" w:pos="2740"/>
        </w:tabs>
        <w:adjustRightInd w:val="0"/>
        <w:snapToGrid w:val="0"/>
        <w:spacing w:line="440" w:lineRule="exact"/>
        <w:ind w:firstLine="600" w:firstLineChars="200"/>
        <w:jc w:val="left"/>
        <w:outlineLvl w:val="0"/>
        <w:rPr>
          <w:rFonts w:hint="eastAsia" w:ascii="仿宋_GB2312" w:hAnsi="仿宋_GB2312" w:cs="仿宋_GB2312"/>
          <w:lang w:val="en-US" w:eastAsia="zh-CN"/>
        </w:rPr>
      </w:pPr>
      <w:r>
        <w:rPr>
          <w:rFonts w:hint="eastAsia" w:ascii="仿宋_GB2312" w:hAnsi="仿宋_GB2312" w:cs="仿宋_GB2312"/>
          <w:lang w:val="en-US" w:eastAsia="zh-CN"/>
        </w:rPr>
        <w:t>项目经政府会议通过，</w:t>
      </w:r>
      <w:r>
        <w:rPr>
          <w:rFonts w:hint="eastAsia" w:ascii="仿宋_GB2312" w:hAnsi="仿宋_GB2312" w:cs="仿宋_GB2312"/>
        </w:rPr>
        <w:t>由城阳区发改局批复，依据</w:t>
      </w:r>
      <w:r>
        <w:rPr>
          <w:rFonts w:hint="eastAsia" w:ascii="仿宋_GB2312"/>
        </w:rPr>
        <w:t>城阳区发改局《关于诉讼服务中心配套及智能化建设项目建议书（代可行性研究报告）的复函》（青城发改投资审〔2022〕38号）</w:t>
      </w:r>
      <w:r>
        <w:rPr>
          <w:rFonts w:hint="eastAsia" w:ascii="仿宋_GB2312" w:hAnsi="仿宋_GB2312" w:cs="仿宋_GB2312"/>
          <w:lang w:eastAsia="zh-CN"/>
        </w:rPr>
        <w:t>，</w:t>
      </w:r>
      <w:r>
        <w:rPr>
          <w:rFonts w:hint="eastAsia" w:ascii="仿宋_GB2312" w:hAnsi="仿宋_GB2312" w:cs="仿宋_GB2312"/>
          <w:lang w:val="en-US" w:eastAsia="zh-CN"/>
        </w:rPr>
        <w:t>已按照规定的程序申请设立，项目立项规范。根据评分标准，该项得1分。</w:t>
      </w:r>
    </w:p>
    <w:p>
      <w:pPr>
        <w:pStyle w:val="2"/>
        <w:numPr>
          <w:ilvl w:val="0"/>
          <w:numId w:val="1"/>
        </w:numPr>
        <w:ind w:left="750" w:leftChars="0" w:firstLine="0" w:firstLineChars="0"/>
        <w:rPr>
          <w:rFonts w:hint="eastAsia" w:ascii="仿宋_GB2312" w:hAnsi="仿宋_GB2312" w:cs="仿宋_GB2312"/>
          <w:lang w:val="en-US" w:eastAsia="zh-CN"/>
        </w:rPr>
      </w:pPr>
      <w:r>
        <w:rPr>
          <w:rFonts w:hint="eastAsia" w:ascii="仿宋_GB2312" w:hAnsi="仿宋_GB2312" w:cs="仿宋_GB2312"/>
          <w:lang w:val="en-US" w:eastAsia="zh-CN"/>
        </w:rPr>
        <w:t>绩效目标</w:t>
      </w:r>
    </w:p>
    <w:p>
      <w:pPr>
        <w:widowControl/>
        <w:tabs>
          <w:tab w:val="left" w:pos="2740"/>
        </w:tabs>
        <w:adjustRightInd w:val="0"/>
        <w:snapToGrid w:val="0"/>
        <w:spacing w:line="440" w:lineRule="exact"/>
        <w:ind w:firstLine="600" w:firstLineChars="200"/>
        <w:jc w:val="left"/>
        <w:outlineLvl w:val="0"/>
        <w:rPr>
          <w:rFonts w:hint="eastAsia" w:ascii="仿宋_GB2312" w:hAnsi="仿宋_GB2312" w:cs="仿宋_GB2312"/>
          <w:lang w:val="en-US" w:eastAsia="zh-CN"/>
        </w:rPr>
      </w:pPr>
      <w:r>
        <w:rPr>
          <w:rFonts w:hint="eastAsia" w:ascii="仿宋_GB2312" w:hAnsi="仿宋_GB2312" w:cs="仿宋_GB2312"/>
          <w:lang w:val="en-US" w:eastAsia="zh-CN"/>
        </w:rPr>
        <w:t>该二级指标</w:t>
      </w:r>
      <w:r>
        <w:rPr>
          <w:rFonts w:hint="default" w:ascii="仿宋_GB2312" w:hAnsi="仿宋_GB2312" w:cs="仿宋_GB2312"/>
          <w:lang w:val="en-US" w:eastAsia="zh-CN"/>
        </w:rPr>
        <w:t>包括绩效目标合理性</w:t>
      </w:r>
      <w:r>
        <w:rPr>
          <w:rFonts w:hint="eastAsia" w:ascii="仿宋_GB2312" w:hAnsi="仿宋_GB2312" w:cs="仿宋_GB2312"/>
          <w:lang w:val="en-US" w:eastAsia="zh-CN"/>
        </w:rPr>
        <w:t>、</w:t>
      </w:r>
      <w:r>
        <w:rPr>
          <w:rFonts w:hint="default" w:ascii="仿宋_GB2312" w:hAnsi="仿宋_GB2312" w:cs="仿宋_GB2312"/>
          <w:lang w:val="en-US" w:eastAsia="zh-CN"/>
        </w:rPr>
        <w:t>绩效指标明确性</w:t>
      </w:r>
      <w:r>
        <w:rPr>
          <w:rFonts w:hint="eastAsia" w:ascii="仿宋_GB2312" w:hAnsi="仿宋_GB2312" w:cs="仿宋_GB2312"/>
          <w:lang w:val="en-US" w:eastAsia="zh-CN"/>
        </w:rPr>
        <w:t>2</w:t>
      </w:r>
      <w:r>
        <w:rPr>
          <w:rFonts w:hint="default" w:ascii="仿宋_GB2312" w:hAnsi="仿宋_GB2312" w:cs="仿宋_GB2312"/>
          <w:lang w:val="en-US" w:eastAsia="zh-CN"/>
        </w:rPr>
        <w:t>个三级指标</w:t>
      </w:r>
      <w:r>
        <w:rPr>
          <w:rFonts w:hint="eastAsia" w:ascii="仿宋_GB2312" w:hAnsi="仿宋_GB2312" w:cs="仿宋_GB2312"/>
          <w:lang w:val="en-US" w:eastAsia="zh-CN"/>
        </w:rPr>
        <w:t>。</w:t>
      </w:r>
    </w:p>
    <w:p>
      <w:pPr>
        <w:pStyle w:val="2"/>
        <w:numPr>
          <w:ilvl w:val="0"/>
          <w:numId w:val="2"/>
        </w:numPr>
        <w:ind w:left="600" w:leftChars="0" w:firstLine="0" w:firstLineChars="0"/>
        <w:rPr>
          <w:rFonts w:hint="eastAsia" w:ascii="仿宋_GB2312" w:hAnsi="仿宋_GB2312" w:cs="仿宋_GB2312"/>
          <w:lang w:val="en-US" w:eastAsia="zh-CN"/>
        </w:rPr>
      </w:pPr>
      <w:r>
        <w:rPr>
          <w:rFonts w:hint="eastAsia" w:ascii="仿宋_GB2312" w:hAnsi="仿宋_GB2312" w:cs="仿宋_GB2312"/>
          <w:lang w:val="en-US" w:eastAsia="zh-CN"/>
        </w:rPr>
        <w:t>绩效目标合理性（2分）</w:t>
      </w:r>
    </w:p>
    <w:p>
      <w:pPr>
        <w:spacing w:line="440" w:lineRule="exact"/>
        <w:ind w:firstLine="600" w:firstLineChars="200"/>
        <w:outlineLvl w:val="0"/>
        <w:rPr>
          <w:rFonts w:hint="default" w:ascii="仿宋_GB2312" w:hAnsi="Times New Roman" w:cs="Times New Roman"/>
          <w:lang w:val="en-US" w:eastAsia="zh-CN"/>
        </w:rPr>
      </w:pPr>
      <w:r>
        <w:rPr>
          <w:rFonts w:hint="default" w:ascii="仿宋_GB2312" w:hAnsi="Times New Roman" w:cs="Times New Roman"/>
          <w:lang w:val="en-US" w:eastAsia="zh-CN"/>
        </w:rPr>
        <w:t>该项目具有绩效目标申报表，项目年度绩效目标与其对应的业务和实施方案相关。项目预期产出和效益在方案或相关协议中均明确表明。</w:t>
      </w:r>
      <w:r>
        <w:rPr>
          <w:rFonts w:hint="eastAsia" w:ascii="仿宋_GB2312" w:hAnsi="仿宋_GB2312" w:cs="仿宋_GB2312"/>
          <w:lang w:val="en-US" w:eastAsia="zh-CN"/>
        </w:rPr>
        <w:t>根据评分标准，该项得2分</w:t>
      </w:r>
      <w:r>
        <w:rPr>
          <w:rFonts w:hint="default" w:ascii="仿宋_GB2312" w:hAnsi="Times New Roman" w:cs="Times New Roman"/>
          <w:lang w:val="en-US" w:eastAsia="zh-CN"/>
        </w:rPr>
        <w:t>。</w:t>
      </w:r>
    </w:p>
    <w:p>
      <w:pPr>
        <w:numPr>
          <w:ilvl w:val="0"/>
          <w:numId w:val="2"/>
        </w:numPr>
        <w:ind w:left="600" w:leftChars="0" w:firstLine="0" w:firstLineChars="0"/>
        <w:rPr>
          <w:rFonts w:hint="eastAsia"/>
          <w:lang w:val="en-US" w:eastAsia="zh-CN"/>
        </w:rPr>
      </w:pPr>
      <w:r>
        <w:rPr>
          <w:rFonts w:hint="eastAsia"/>
          <w:lang w:val="en-US" w:eastAsia="zh-CN"/>
        </w:rPr>
        <w:t>绩效指标明确性（2分）</w:t>
      </w:r>
    </w:p>
    <w:p>
      <w:pPr>
        <w:spacing w:line="440" w:lineRule="exact"/>
        <w:ind w:firstLine="600" w:firstLineChars="200"/>
        <w:outlineLvl w:val="0"/>
        <w:rPr>
          <w:rFonts w:hint="default" w:ascii="仿宋_GB2312" w:hAnsi="Times New Roman" w:cs="Times New Roman"/>
          <w:lang w:val="en-US" w:eastAsia="zh-CN"/>
        </w:rPr>
      </w:pPr>
      <w:r>
        <w:rPr>
          <w:rFonts w:hint="default" w:ascii="仿宋_GB2312" w:hAnsi="Times New Roman" w:cs="Times New Roman"/>
          <w:lang w:val="en-US" w:eastAsia="zh-CN"/>
        </w:rPr>
        <w:t>该项目</w:t>
      </w:r>
      <w:r>
        <w:rPr>
          <w:rFonts w:hint="eastAsia" w:ascii="仿宋_GB2312" w:hAnsi="Times New Roman" w:cs="Times New Roman"/>
          <w:lang w:val="en-US" w:eastAsia="zh-CN"/>
        </w:rPr>
        <w:t>设立的绩效指标包含数量指标、质量指标、成本指标、效益指标、满意度指标。指标设置完整、细化、清晰。</w:t>
      </w:r>
      <w:r>
        <w:rPr>
          <w:rFonts w:hint="eastAsia" w:ascii="仿宋_GB2312" w:hAnsi="仿宋_GB2312" w:cs="仿宋_GB2312"/>
          <w:lang w:val="en-US" w:eastAsia="zh-CN"/>
        </w:rPr>
        <w:t>根据评分标准，该项得2分</w:t>
      </w:r>
      <w:r>
        <w:rPr>
          <w:rFonts w:hint="default" w:ascii="仿宋_GB2312" w:hAnsi="Times New Roman" w:cs="Times New Roman"/>
          <w:lang w:val="en-US" w:eastAsia="zh-CN"/>
        </w:rPr>
        <w:t>。</w:t>
      </w:r>
    </w:p>
    <w:p>
      <w:pPr>
        <w:pStyle w:val="2"/>
        <w:numPr>
          <w:ilvl w:val="0"/>
          <w:numId w:val="1"/>
        </w:numPr>
        <w:ind w:left="750" w:leftChars="0" w:firstLine="0" w:firstLineChars="0"/>
        <w:rPr>
          <w:rFonts w:hint="eastAsia" w:ascii="仿宋_GB2312" w:hAnsi="Times New Roman" w:cs="Times New Roman"/>
          <w:lang w:val="en-US" w:eastAsia="zh-CN"/>
        </w:rPr>
      </w:pPr>
      <w:r>
        <w:rPr>
          <w:rFonts w:hint="eastAsia" w:ascii="仿宋_GB2312" w:hAnsi="Times New Roman" w:cs="Times New Roman"/>
          <w:lang w:val="en-US" w:eastAsia="zh-CN"/>
        </w:rPr>
        <w:t>资金投入</w:t>
      </w:r>
    </w:p>
    <w:p>
      <w:pPr>
        <w:widowControl/>
        <w:tabs>
          <w:tab w:val="left" w:pos="2740"/>
        </w:tabs>
        <w:adjustRightInd w:val="0"/>
        <w:snapToGrid w:val="0"/>
        <w:spacing w:line="440" w:lineRule="exact"/>
        <w:ind w:firstLine="600" w:firstLineChars="200"/>
        <w:jc w:val="left"/>
        <w:outlineLvl w:val="0"/>
        <w:rPr>
          <w:rFonts w:hint="eastAsia" w:ascii="仿宋_GB2312" w:hAnsi="仿宋_GB2312" w:cs="仿宋_GB2312"/>
          <w:lang w:val="en-US" w:eastAsia="zh-CN"/>
        </w:rPr>
      </w:pPr>
      <w:r>
        <w:rPr>
          <w:rFonts w:hint="eastAsia" w:ascii="仿宋_GB2312" w:hAnsi="仿宋_GB2312" w:cs="仿宋_GB2312"/>
          <w:lang w:val="en-US" w:eastAsia="zh-CN"/>
        </w:rPr>
        <w:t>该二级指标</w:t>
      </w:r>
      <w:r>
        <w:rPr>
          <w:rFonts w:hint="default" w:ascii="仿宋_GB2312" w:hAnsi="仿宋_GB2312" w:cs="仿宋_GB2312"/>
          <w:lang w:val="en-US" w:eastAsia="zh-CN"/>
        </w:rPr>
        <w:t>包括预算编制科学性</w:t>
      </w:r>
      <w:r>
        <w:rPr>
          <w:rFonts w:hint="eastAsia" w:ascii="仿宋_GB2312" w:hAnsi="仿宋_GB2312" w:cs="仿宋_GB2312"/>
          <w:lang w:val="en-US" w:eastAsia="zh-CN"/>
        </w:rPr>
        <w:t>、</w:t>
      </w:r>
      <w:r>
        <w:rPr>
          <w:rFonts w:hint="default" w:ascii="仿宋_GB2312" w:hAnsi="仿宋_GB2312" w:cs="仿宋_GB2312"/>
          <w:lang w:val="en-US" w:eastAsia="zh-CN"/>
        </w:rPr>
        <w:t>资金分配合理性</w:t>
      </w:r>
      <w:r>
        <w:rPr>
          <w:rFonts w:hint="eastAsia" w:ascii="仿宋_GB2312" w:hAnsi="仿宋_GB2312" w:cs="仿宋_GB2312"/>
          <w:lang w:val="en-US" w:eastAsia="zh-CN"/>
        </w:rPr>
        <w:t>2</w:t>
      </w:r>
      <w:r>
        <w:rPr>
          <w:rFonts w:hint="default" w:ascii="仿宋_GB2312" w:hAnsi="仿宋_GB2312" w:cs="仿宋_GB2312"/>
          <w:lang w:val="en-US" w:eastAsia="zh-CN"/>
        </w:rPr>
        <w:t>个三级指标</w:t>
      </w:r>
      <w:r>
        <w:rPr>
          <w:rFonts w:hint="eastAsia" w:ascii="仿宋_GB2312" w:hAnsi="仿宋_GB2312" w:cs="仿宋_GB2312"/>
          <w:lang w:val="en-US" w:eastAsia="zh-CN"/>
        </w:rPr>
        <w:t>。</w:t>
      </w:r>
    </w:p>
    <w:p>
      <w:pPr>
        <w:pStyle w:val="2"/>
        <w:rPr>
          <w:rFonts w:hint="default"/>
          <w:lang w:val="en-US" w:eastAsia="zh-CN"/>
        </w:rPr>
      </w:pPr>
      <w:r>
        <w:rPr>
          <w:rFonts w:hint="eastAsia" w:ascii="仿宋_GB2312" w:hAnsi="仿宋_GB2312" w:cs="仿宋_GB2312"/>
          <w:lang w:val="en-US" w:eastAsia="zh-CN"/>
        </w:rPr>
        <w:t xml:space="preserve">   （1）预算编制科学性（2分）</w:t>
      </w:r>
    </w:p>
    <w:p>
      <w:pPr>
        <w:spacing w:line="440" w:lineRule="exact"/>
        <w:ind w:firstLine="600" w:firstLineChars="200"/>
        <w:outlineLvl w:val="0"/>
        <w:rPr>
          <w:rFonts w:hint="default" w:ascii="仿宋_GB2312" w:hAnsi="Times New Roman" w:cs="Times New Roman"/>
          <w:lang w:val="en-US" w:eastAsia="zh-CN"/>
        </w:rPr>
      </w:pPr>
      <w:r>
        <w:rPr>
          <w:rFonts w:hint="default"/>
          <w:lang w:val="en-US" w:eastAsia="zh-CN"/>
        </w:rPr>
        <w:t>项目预算编制</w:t>
      </w:r>
      <w:r>
        <w:rPr>
          <w:rFonts w:hint="eastAsia"/>
          <w:lang w:val="en-US" w:eastAsia="zh-CN"/>
        </w:rPr>
        <w:t>经过预算控制价核定、发改批复及可行性研究报告，预算资金编制合理</w:t>
      </w:r>
      <w:r>
        <w:rPr>
          <w:rFonts w:hint="default"/>
          <w:lang w:val="en-US" w:eastAsia="zh-CN"/>
        </w:rPr>
        <w:t>与年度目标相适应</w:t>
      </w:r>
      <w:r>
        <w:rPr>
          <w:rFonts w:hint="eastAsia"/>
          <w:lang w:val="en-US" w:eastAsia="zh-CN"/>
        </w:rPr>
        <w:t>。</w:t>
      </w:r>
      <w:r>
        <w:rPr>
          <w:rFonts w:hint="eastAsia" w:ascii="仿宋_GB2312" w:hAnsi="仿宋_GB2312" w:cs="仿宋_GB2312"/>
          <w:lang w:val="en-US" w:eastAsia="zh-CN"/>
        </w:rPr>
        <w:t>根据评分标准，该项得2分</w:t>
      </w:r>
      <w:r>
        <w:rPr>
          <w:rFonts w:hint="default" w:ascii="仿宋_GB2312" w:hAnsi="Times New Roman" w:cs="Times New Roman"/>
          <w:lang w:val="en-US" w:eastAsia="zh-CN"/>
        </w:rPr>
        <w:t>。</w:t>
      </w:r>
    </w:p>
    <w:p>
      <w:pPr>
        <w:numPr>
          <w:ilvl w:val="0"/>
          <w:numId w:val="0"/>
        </w:numPr>
        <w:ind w:left="600" w:leftChars="0"/>
        <w:rPr>
          <w:rFonts w:hint="eastAsia"/>
          <w:lang w:val="en-US" w:eastAsia="zh-CN"/>
        </w:rPr>
      </w:pPr>
      <w:r>
        <w:rPr>
          <w:rFonts w:hint="eastAsia"/>
          <w:lang w:val="en-US" w:eastAsia="zh-CN"/>
        </w:rPr>
        <w:t>（2）</w:t>
      </w:r>
      <w:r>
        <w:rPr>
          <w:rFonts w:hint="default"/>
          <w:lang w:val="en-US" w:eastAsia="zh-CN"/>
        </w:rPr>
        <w:t>资金分配合理性</w:t>
      </w:r>
      <w:r>
        <w:rPr>
          <w:rFonts w:hint="eastAsia"/>
          <w:lang w:val="en-US" w:eastAsia="zh-CN"/>
        </w:rPr>
        <w:t>（2分）</w:t>
      </w:r>
    </w:p>
    <w:p>
      <w:pPr>
        <w:spacing w:line="440" w:lineRule="exact"/>
        <w:ind w:firstLine="600" w:firstLineChars="200"/>
        <w:outlineLvl w:val="0"/>
        <w:rPr>
          <w:rFonts w:hint="default"/>
          <w:lang w:val="en-US" w:eastAsia="zh-CN"/>
        </w:rPr>
      </w:pPr>
      <w:r>
        <w:rPr>
          <w:rFonts w:hint="default"/>
          <w:lang w:val="en-US" w:eastAsia="zh-CN"/>
        </w:rPr>
        <w:t>项目资金分配测算依据</w:t>
      </w:r>
      <w:r>
        <w:rPr>
          <w:rFonts w:hint="eastAsia"/>
          <w:lang w:val="en-US" w:eastAsia="zh-CN"/>
        </w:rPr>
        <w:t>合理</w:t>
      </w:r>
      <w:r>
        <w:rPr>
          <w:rFonts w:hint="default"/>
          <w:lang w:val="en-US" w:eastAsia="zh-CN"/>
        </w:rPr>
        <w:t>，预算安排内容与专项资金的设立目的及年度工作重点一致</w:t>
      </w:r>
      <w:r>
        <w:rPr>
          <w:rFonts w:hint="eastAsia"/>
          <w:lang w:val="en-US" w:eastAsia="zh-CN"/>
        </w:rPr>
        <w:t>。</w:t>
      </w:r>
      <w:r>
        <w:rPr>
          <w:rFonts w:hint="eastAsia" w:ascii="仿宋_GB2312" w:hAnsi="仿宋_GB2312" w:cs="仿宋_GB2312"/>
          <w:lang w:val="en-US" w:eastAsia="zh-CN"/>
        </w:rPr>
        <w:t>根据评分标准，该项得2分</w:t>
      </w:r>
      <w:r>
        <w:rPr>
          <w:rFonts w:hint="default" w:ascii="仿宋_GB2312" w:hAnsi="Times New Roman" w:cs="Times New Roman"/>
          <w:lang w:val="en-US" w:eastAsia="zh-CN"/>
        </w:rPr>
        <w:t>。</w:t>
      </w:r>
    </w:p>
    <w:p>
      <w:pPr>
        <w:spacing w:line="440" w:lineRule="exact"/>
        <w:ind w:firstLine="600" w:firstLineChars="200"/>
        <w:outlineLvl w:val="0"/>
        <w:rPr>
          <w:rFonts w:ascii="楷体_GB2312" w:eastAsia="楷体_GB2312"/>
        </w:rPr>
      </w:pPr>
      <w:r>
        <w:rPr>
          <w:rFonts w:hint="eastAsia" w:ascii="楷体_GB2312" w:eastAsia="楷体_GB2312"/>
        </w:rPr>
        <w:t>（二）项目过程情况</w:t>
      </w:r>
    </w:p>
    <w:p>
      <w:pPr>
        <w:spacing w:line="440" w:lineRule="exact"/>
        <w:ind w:firstLine="600" w:firstLineChars="200"/>
        <w:outlineLvl w:val="0"/>
        <w:rPr>
          <w:rFonts w:hint="eastAsia" w:ascii="仿宋_GB2312" w:eastAsia="仿宋_GB2312"/>
          <w:lang w:val="en-US" w:eastAsia="zh-CN"/>
        </w:rPr>
      </w:pPr>
      <w:r>
        <w:rPr>
          <w:rFonts w:hint="eastAsia" w:ascii="仿宋_GB2312"/>
          <w:lang w:val="en-US" w:eastAsia="zh-CN"/>
        </w:rPr>
        <w:t>1，资金管理</w:t>
      </w:r>
    </w:p>
    <w:p>
      <w:pPr>
        <w:widowControl/>
        <w:tabs>
          <w:tab w:val="left" w:pos="2740"/>
        </w:tabs>
        <w:adjustRightInd w:val="0"/>
        <w:snapToGrid w:val="0"/>
        <w:spacing w:line="440" w:lineRule="exact"/>
        <w:ind w:firstLine="600" w:firstLineChars="200"/>
        <w:jc w:val="left"/>
        <w:outlineLvl w:val="0"/>
        <w:rPr>
          <w:rFonts w:hint="eastAsia" w:ascii="仿宋_GB2312"/>
        </w:rPr>
      </w:pPr>
      <w:r>
        <w:rPr>
          <w:rFonts w:hint="eastAsia" w:ascii="仿宋_GB2312" w:hAnsi="仿宋_GB2312" w:cs="仿宋_GB2312"/>
          <w:lang w:val="en-US" w:eastAsia="zh-CN"/>
        </w:rPr>
        <w:t>该二级指标</w:t>
      </w:r>
      <w:r>
        <w:rPr>
          <w:rFonts w:hint="default" w:ascii="仿宋_GB2312" w:hAnsi="仿宋_GB2312" w:cs="仿宋_GB2312"/>
          <w:lang w:val="en-US" w:eastAsia="zh-CN"/>
        </w:rPr>
        <w:t>包括资金到位率</w:t>
      </w:r>
      <w:r>
        <w:rPr>
          <w:rFonts w:hint="eastAsia" w:ascii="仿宋_GB2312" w:hAnsi="仿宋_GB2312" w:cs="仿宋_GB2312"/>
          <w:lang w:val="en-US" w:eastAsia="zh-CN"/>
        </w:rPr>
        <w:t>、</w:t>
      </w:r>
      <w:r>
        <w:rPr>
          <w:rFonts w:hint="default" w:ascii="仿宋_GB2312" w:hAnsi="仿宋_GB2312" w:cs="仿宋_GB2312"/>
          <w:lang w:val="en-US" w:eastAsia="zh-CN"/>
        </w:rPr>
        <w:t>预算执行率</w:t>
      </w:r>
      <w:r>
        <w:rPr>
          <w:rFonts w:hint="eastAsia" w:ascii="仿宋_GB2312" w:hAnsi="仿宋_GB2312" w:cs="仿宋_GB2312"/>
          <w:lang w:val="en-US" w:eastAsia="zh-CN"/>
        </w:rPr>
        <w:t>、资金使用合规性3</w:t>
      </w:r>
      <w:r>
        <w:rPr>
          <w:rFonts w:hint="default" w:ascii="仿宋_GB2312" w:hAnsi="仿宋_GB2312" w:cs="仿宋_GB2312"/>
          <w:lang w:val="en-US" w:eastAsia="zh-CN"/>
        </w:rPr>
        <w:t>个三级指标</w:t>
      </w:r>
      <w:r>
        <w:rPr>
          <w:rFonts w:hint="eastAsia" w:ascii="仿宋_GB2312" w:hAnsi="仿宋_GB2312" w:cs="仿宋_GB2312"/>
          <w:lang w:val="en-US" w:eastAsia="zh-CN"/>
        </w:rPr>
        <w:t>。</w:t>
      </w:r>
    </w:p>
    <w:p>
      <w:pPr>
        <w:spacing w:line="440" w:lineRule="exact"/>
        <w:ind w:firstLine="600" w:firstLineChars="200"/>
        <w:outlineLvl w:val="0"/>
        <w:rPr>
          <w:rFonts w:hint="eastAsia" w:ascii="仿宋_GB2312" w:eastAsia="仿宋_GB2312"/>
          <w:lang w:eastAsia="zh-CN"/>
        </w:rPr>
      </w:pPr>
      <w:r>
        <w:rPr>
          <w:rFonts w:hint="eastAsia" w:ascii="仿宋_GB2312"/>
          <w:lang w:eastAsia="zh-CN"/>
        </w:rPr>
        <w:t>（</w:t>
      </w:r>
      <w:r>
        <w:rPr>
          <w:rFonts w:hint="eastAsia" w:ascii="仿宋_GB2312"/>
          <w:lang w:val="en-US" w:eastAsia="zh-CN"/>
        </w:rPr>
        <w:t>1</w:t>
      </w:r>
      <w:r>
        <w:rPr>
          <w:rFonts w:hint="eastAsia" w:ascii="仿宋_GB2312"/>
          <w:lang w:eastAsia="zh-CN"/>
        </w:rPr>
        <w:t>）资金到位率（</w:t>
      </w:r>
      <w:r>
        <w:rPr>
          <w:rFonts w:hint="eastAsia" w:ascii="仿宋_GB2312"/>
          <w:lang w:val="en-US" w:eastAsia="zh-CN"/>
        </w:rPr>
        <w:t>1分</w:t>
      </w:r>
      <w:r>
        <w:rPr>
          <w:rFonts w:hint="eastAsia" w:ascii="仿宋_GB2312"/>
          <w:lang w:eastAsia="zh-CN"/>
        </w:rPr>
        <w:t>）</w:t>
      </w:r>
    </w:p>
    <w:p>
      <w:pPr>
        <w:spacing w:line="440" w:lineRule="exact"/>
        <w:ind w:firstLine="600" w:firstLineChars="200"/>
        <w:outlineLvl w:val="0"/>
        <w:rPr>
          <w:rFonts w:hint="default" w:ascii="仿宋_GB2312" w:hAnsi="Times New Roman" w:cs="Times New Roman"/>
          <w:lang w:val="en-US" w:eastAsia="zh-CN"/>
        </w:rPr>
      </w:pPr>
      <w:r>
        <w:rPr>
          <w:rFonts w:hint="eastAsia" w:ascii="仿宋_GB2312"/>
          <w:lang w:val="en-US" w:eastAsia="zh-CN"/>
        </w:rPr>
        <w:t>项目预算资金</w:t>
      </w:r>
      <w:r>
        <w:rPr>
          <w:rFonts w:hint="eastAsia" w:ascii="仿宋_GB2312"/>
        </w:rPr>
        <w:t>资金</w:t>
      </w:r>
      <w:r>
        <w:rPr>
          <w:rFonts w:hint="eastAsia" w:ascii="仿宋_GB2312"/>
          <w:lang w:val="en-US" w:eastAsia="zh-CN"/>
        </w:rPr>
        <w:t>18</w:t>
      </w:r>
      <w:r>
        <w:rPr>
          <w:rFonts w:hint="eastAsia" w:ascii="仿宋_GB2312"/>
        </w:rPr>
        <w:t>00万元</w:t>
      </w:r>
      <w:r>
        <w:rPr>
          <w:rFonts w:hint="eastAsia" w:ascii="仿宋_GB2312"/>
          <w:lang w:eastAsia="zh-CN"/>
        </w:rPr>
        <w:t>，</w:t>
      </w:r>
      <w:r>
        <w:rPr>
          <w:rFonts w:hint="eastAsia" w:ascii="仿宋_GB2312"/>
          <w:lang w:val="en-US" w:eastAsia="zh-CN"/>
        </w:rPr>
        <w:t>实际到位资金1800万元，</w:t>
      </w:r>
      <w:r>
        <w:rPr>
          <w:rFonts w:hint="eastAsia" w:ascii="仿宋_GB2312"/>
        </w:rPr>
        <w:t>到位率=（实际到位资金/预算资金）*100%</w:t>
      </w:r>
      <w:r>
        <w:rPr>
          <w:rFonts w:hint="eastAsia" w:ascii="仿宋_GB2312"/>
          <w:lang w:val="en-US" w:eastAsia="zh-CN"/>
        </w:rPr>
        <w:t>=（1800/1800）*100%=100%，</w:t>
      </w:r>
      <w:r>
        <w:rPr>
          <w:rFonts w:hint="eastAsia" w:ascii="仿宋_GB2312" w:hAnsi="仿宋_GB2312" w:cs="仿宋_GB2312"/>
          <w:lang w:val="en-US" w:eastAsia="zh-CN"/>
        </w:rPr>
        <w:t>根据评分标准，该项得1分</w:t>
      </w:r>
      <w:r>
        <w:rPr>
          <w:rFonts w:hint="default" w:ascii="仿宋_GB2312" w:hAnsi="Times New Roman" w:cs="Times New Roman"/>
          <w:lang w:val="en-US" w:eastAsia="zh-CN"/>
        </w:rPr>
        <w:t>。</w:t>
      </w:r>
    </w:p>
    <w:p>
      <w:pPr>
        <w:pStyle w:val="2"/>
        <w:rPr>
          <w:rFonts w:hint="default"/>
          <w:lang w:val="en-US"/>
        </w:rPr>
      </w:pPr>
      <w:r>
        <w:rPr>
          <w:rFonts w:hint="eastAsia" w:ascii="仿宋_GB2312" w:hAnsi="Times New Roman" w:cs="Times New Roman"/>
          <w:lang w:val="en-US" w:eastAsia="zh-CN"/>
        </w:rPr>
        <w:t xml:space="preserve">     （2）</w:t>
      </w:r>
      <w:r>
        <w:rPr>
          <w:rFonts w:hint="default" w:ascii="仿宋_GB2312" w:hAnsi="仿宋_GB2312" w:cs="仿宋_GB2312"/>
          <w:lang w:val="en-US" w:eastAsia="zh-CN"/>
        </w:rPr>
        <w:t>预算执行率</w:t>
      </w:r>
      <w:r>
        <w:rPr>
          <w:rFonts w:hint="eastAsia" w:ascii="仿宋_GB2312" w:hAnsi="仿宋_GB2312" w:cs="仿宋_GB2312"/>
          <w:lang w:val="en-US" w:eastAsia="zh-CN"/>
        </w:rPr>
        <w:t>（5分）</w:t>
      </w:r>
    </w:p>
    <w:p>
      <w:pPr>
        <w:spacing w:line="440" w:lineRule="exact"/>
        <w:ind w:firstLine="600" w:firstLineChars="200"/>
        <w:outlineLvl w:val="0"/>
        <w:rPr>
          <w:rFonts w:hint="eastAsia" w:ascii="仿宋_GB2312" w:eastAsia="仿宋_GB2312"/>
          <w:lang w:val="en-US" w:eastAsia="zh-CN"/>
        </w:rPr>
      </w:pPr>
      <w:r>
        <w:rPr>
          <w:rFonts w:hint="eastAsia" w:ascii="仿宋_GB2312"/>
          <w:lang w:val="en-US" w:eastAsia="zh-CN"/>
        </w:rPr>
        <w:t>该项目全年实际支出金额18</w:t>
      </w:r>
      <w:r>
        <w:rPr>
          <w:rFonts w:hint="eastAsia" w:ascii="仿宋_GB2312"/>
        </w:rPr>
        <w:t>00万元</w:t>
      </w:r>
      <w:r>
        <w:rPr>
          <w:rFonts w:hint="eastAsia" w:ascii="仿宋_GB2312"/>
          <w:lang w:eastAsia="zh-CN"/>
        </w:rPr>
        <w:t>，</w:t>
      </w:r>
      <w:r>
        <w:rPr>
          <w:rFonts w:hint="eastAsia" w:ascii="仿宋_GB2312"/>
          <w:lang w:val="en-US" w:eastAsia="zh-CN"/>
        </w:rPr>
        <w:t>实际到位资金1800万元，</w:t>
      </w:r>
    </w:p>
    <w:p>
      <w:pPr>
        <w:spacing w:line="440" w:lineRule="exact"/>
        <w:outlineLvl w:val="0"/>
        <w:rPr>
          <w:rFonts w:hint="eastAsia" w:ascii="仿宋_GB2312"/>
        </w:rPr>
      </w:pPr>
      <w:r>
        <w:rPr>
          <w:rFonts w:hint="eastAsia" w:ascii="仿宋_GB2312"/>
        </w:rPr>
        <w:t>预算执行率=（实际支出金额/实际到位资金）×100%</w:t>
      </w:r>
      <w:r>
        <w:rPr>
          <w:rFonts w:hint="eastAsia" w:ascii="仿宋_GB2312"/>
          <w:lang w:val="en-US" w:eastAsia="zh-CN"/>
        </w:rPr>
        <w:t>=（1800/1800）*100%=100%，</w:t>
      </w:r>
      <w:r>
        <w:rPr>
          <w:rFonts w:hint="eastAsia" w:ascii="仿宋_GB2312" w:hAnsi="仿宋_GB2312" w:cs="仿宋_GB2312"/>
          <w:lang w:val="en-US" w:eastAsia="zh-CN"/>
        </w:rPr>
        <w:t>根据评分标准，该项得5分</w:t>
      </w:r>
      <w:r>
        <w:rPr>
          <w:rFonts w:hint="default" w:ascii="仿宋_GB2312" w:hAnsi="Times New Roman" w:cs="Times New Roman"/>
          <w:lang w:val="en-US" w:eastAsia="zh-CN"/>
        </w:rPr>
        <w:t>。</w:t>
      </w:r>
      <w:r>
        <w:rPr>
          <w:rFonts w:hint="eastAsia" w:ascii="仿宋_GB2312"/>
        </w:rPr>
        <w:t>。</w:t>
      </w:r>
    </w:p>
    <w:p>
      <w:pPr>
        <w:numPr>
          <w:ilvl w:val="0"/>
          <w:numId w:val="2"/>
        </w:numPr>
        <w:spacing w:line="440" w:lineRule="exact"/>
        <w:ind w:left="600" w:leftChars="0" w:firstLine="0" w:firstLineChars="0"/>
        <w:outlineLvl w:val="0"/>
        <w:rPr>
          <w:rFonts w:hint="eastAsia" w:ascii="仿宋_GB2312"/>
          <w:lang w:val="en-US" w:eastAsia="zh-CN"/>
        </w:rPr>
      </w:pPr>
      <w:r>
        <w:rPr>
          <w:rFonts w:hint="eastAsia" w:ascii="仿宋_GB2312"/>
          <w:lang w:val="en-US" w:eastAsia="zh-CN"/>
        </w:rPr>
        <w:t>资金使用合规性</w:t>
      </w:r>
      <w:r>
        <w:rPr>
          <w:rFonts w:hint="eastAsia" w:ascii="仿宋_GB2312" w:hAnsi="仿宋_GB2312" w:cs="仿宋_GB2312"/>
          <w:lang w:val="en-US" w:eastAsia="zh-CN"/>
        </w:rPr>
        <w:t>（2分）</w:t>
      </w:r>
    </w:p>
    <w:p>
      <w:pPr>
        <w:spacing w:line="440" w:lineRule="exact"/>
        <w:ind w:firstLine="600" w:firstLineChars="200"/>
        <w:outlineLvl w:val="0"/>
        <w:rPr>
          <w:rFonts w:hint="eastAsia" w:ascii="仿宋_GB2312"/>
        </w:rPr>
      </w:pPr>
      <w:r>
        <w:rPr>
          <w:rFonts w:hint="eastAsia" w:ascii="仿宋_GB2312"/>
        </w:rPr>
        <w:t>在开展过程中严格按照项目管理办法和资金使用制度，做到项目资金专款专用、按照项目独立核算、无截留、挤占、挪用、虚列支出，定期上报相关项目进度，督促相关部门完成工作进度</w:t>
      </w:r>
      <w:r>
        <w:rPr>
          <w:rFonts w:hint="eastAsia" w:ascii="仿宋_GB2312"/>
          <w:lang w:eastAsia="zh-CN"/>
        </w:rPr>
        <w:t>，</w:t>
      </w:r>
      <w:r>
        <w:rPr>
          <w:rFonts w:hint="eastAsia" w:ascii="仿宋_GB2312"/>
          <w:lang w:val="en-US" w:eastAsia="zh-CN"/>
        </w:rPr>
        <w:t>资金使用符合制度要求，</w:t>
      </w:r>
      <w:r>
        <w:rPr>
          <w:rFonts w:hint="eastAsia" w:ascii="仿宋_GB2312" w:hAnsi="仿宋_GB2312" w:cs="仿宋_GB2312"/>
          <w:lang w:val="en-US" w:eastAsia="zh-CN"/>
        </w:rPr>
        <w:t>根据评分标准，该项得2分</w:t>
      </w:r>
      <w:r>
        <w:rPr>
          <w:rFonts w:hint="eastAsia" w:ascii="仿宋_GB2312"/>
        </w:rPr>
        <w:t>。</w:t>
      </w:r>
    </w:p>
    <w:p>
      <w:pPr>
        <w:pStyle w:val="2"/>
        <w:numPr>
          <w:ilvl w:val="0"/>
          <w:numId w:val="3"/>
        </w:numPr>
        <w:ind w:left="600" w:leftChars="0" w:firstLine="0" w:firstLineChars="0"/>
        <w:rPr>
          <w:rFonts w:hint="eastAsia" w:ascii="仿宋_GB2312"/>
          <w:lang w:val="en-US" w:eastAsia="zh-CN"/>
        </w:rPr>
      </w:pPr>
      <w:r>
        <w:rPr>
          <w:rFonts w:hint="eastAsia" w:ascii="仿宋_GB2312"/>
          <w:lang w:val="en-US" w:eastAsia="zh-CN"/>
        </w:rPr>
        <w:t>组织实施</w:t>
      </w:r>
    </w:p>
    <w:p>
      <w:pPr>
        <w:widowControl/>
        <w:tabs>
          <w:tab w:val="left" w:pos="2740"/>
        </w:tabs>
        <w:adjustRightInd w:val="0"/>
        <w:snapToGrid w:val="0"/>
        <w:spacing w:line="440" w:lineRule="exact"/>
        <w:ind w:firstLine="600" w:firstLineChars="200"/>
        <w:jc w:val="left"/>
        <w:outlineLvl w:val="0"/>
        <w:rPr>
          <w:rFonts w:hint="eastAsia" w:ascii="仿宋_GB2312" w:hAnsi="仿宋_GB2312" w:cs="仿宋_GB2312"/>
          <w:lang w:val="en-US" w:eastAsia="zh-CN"/>
        </w:rPr>
      </w:pPr>
      <w:r>
        <w:rPr>
          <w:rFonts w:hint="eastAsia" w:ascii="仿宋_GB2312" w:hAnsi="仿宋_GB2312" w:cs="仿宋_GB2312"/>
          <w:lang w:val="en-US" w:eastAsia="zh-CN"/>
        </w:rPr>
        <w:t>该二级指标</w:t>
      </w:r>
      <w:r>
        <w:rPr>
          <w:rFonts w:hint="default" w:ascii="仿宋_GB2312" w:hAnsi="仿宋_GB2312" w:cs="仿宋_GB2312"/>
          <w:lang w:val="en-US" w:eastAsia="zh-CN"/>
        </w:rPr>
        <w:t>包括管理制度健全性</w:t>
      </w:r>
      <w:r>
        <w:rPr>
          <w:rFonts w:hint="eastAsia" w:ascii="仿宋_GB2312" w:hAnsi="仿宋_GB2312" w:cs="仿宋_GB2312"/>
          <w:lang w:val="en-US" w:eastAsia="zh-CN"/>
        </w:rPr>
        <w:t>、</w:t>
      </w:r>
      <w:r>
        <w:rPr>
          <w:rFonts w:hint="default" w:ascii="仿宋_GB2312" w:hAnsi="仿宋_GB2312" w:cs="仿宋_GB2312"/>
          <w:lang w:val="en-US" w:eastAsia="zh-CN"/>
        </w:rPr>
        <w:t>绩效管理有效性</w:t>
      </w:r>
      <w:r>
        <w:rPr>
          <w:rFonts w:hint="eastAsia" w:ascii="仿宋_GB2312" w:hAnsi="仿宋_GB2312" w:cs="仿宋_GB2312"/>
          <w:lang w:val="en-US" w:eastAsia="zh-CN"/>
        </w:rPr>
        <w:t>、制度执行</w:t>
      </w:r>
    </w:p>
    <w:p>
      <w:pPr>
        <w:widowControl/>
        <w:tabs>
          <w:tab w:val="left" w:pos="2740"/>
        </w:tabs>
        <w:adjustRightInd w:val="0"/>
        <w:snapToGrid w:val="0"/>
        <w:spacing w:line="440" w:lineRule="exact"/>
        <w:jc w:val="left"/>
        <w:outlineLvl w:val="0"/>
        <w:rPr>
          <w:rFonts w:hint="eastAsia" w:ascii="仿宋_GB2312"/>
        </w:rPr>
      </w:pPr>
      <w:r>
        <w:rPr>
          <w:rFonts w:hint="eastAsia" w:ascii="仿宋_GB2312" w:hAnsi="仿宋_GB2312" w:cs="仿宋_GB2312"/>
          <w:lang w:val="en-US" w:eastAsia="zh-CN"/>
        </w:rPr>
        <w:t>有效性3</w:t>
      </w:r>
      <w:r>
        <w:rPr>
          <w:rFonts w:hint="default" w:ascii="仿宋_GB2312" w:hAnsi="仿宋_GB2312" w:cs="仿宋_GB2312"/>
          <w:lang w:val="en-US" w:eastAsia="zh-CN"/>
        </w:rPr>
        <w:t>个三级指标</w:t>
      </w:r>
      <w:r>
        <w:rPr>
          <w:rFonts w:hint="eastAsia" w:ascii="仿宋_GB2312" w:hAnsi="仿宋_GB2312" w:cs="仿宋_GB2312"/>
          <w:lang w:val="en-US" w:eastAsia="zh-CN"/>
        </w:rPr>
        <w:t>。</w:t>
      </w:r>
    </w:p>
    <w:p>
      <w:pPr>
        <w:numPr>
          <w:ilvl w:val="0"/>
          <w:numId w:val="4"/>
        </w:numPr>
        <w:ind w:left="600" w:leftChars="0"/>
        <w:rPr>
          <w:rFonts w:hint="default" w:ascii="仿宋_GB2312" w:hAnsi="仿宋_GB2312" w:cs="仿宋_GB2312"/>
          <w:lang w:val="en-US" w:eastAsia="zh-CN"/>
        </w:rPr>
      </w:pPr>
      <w:r>
        <w:rPr>
          <w:rFonts w:hint="default" w:ascii="仿宋_GB2312" w:hAnsi="仿宋_GB2312" w:cs="仿宋_GB2312"/>
          <w:lang w:val="en-US" w:eastAsia="zh-CN"/>
        </w:rPr>
        <w:t>管理制度健全性</w:t>
      </w:r>
      <w:r>
        <w:rPr>
          <w:rFonts w:hint="eastAsia" w:ascii="仿宋_GB2312" w:hAnsi="仿宋_GB2312" w:cs="仿宋_GB2312"/>
          <w:lang w:val="en-US" w:eastAsia="zh-CN"/>
        </w:rPr>
        <w:t>（6分）</w:t>
      </w:r>
    </w:p>
    <w:p>
      <w:pPr>
        <w:pStyle w:val="2"/>
        <w:numPr>
          <w:ilvl w:val="0"/>
          <w:numId w:val="0"/>
        </w:numPr>
        <w:rPr>
          <w:rFonts w:hint="eastAsia"/>
          <w:lang w:val="en-US" w:eastAsia="zh-CN"/>
        </w:rPr>
      </w:pPr>
      <w:r>
        <w:rPr>
          <w:rFonts w:hint="eastAsia"/>
          <w:lang w:val="en-US" w:eastAsia="zh-CN"/>
        </w:rPr>
        <w:t xml:space="preserve">     我单位制度相应的财务和业务管理制度，财务和业务管理制度合法、合规、完整，该项目在执行过程中按照制度实施开展，保障了项目顺利完工。</w:t>
      </w:r>
      <w:r>
        <w:rPr>
          <w:rFonts w:hint="eastAsia" w:ascii="仿宋_GB2312" w:hAnsi="仿宋_GB2312" w:cs="仿宋_GB2312"/>
          <w:lang w:val="en-US" w:eastAsia="zh-CN"/>
        </w:rPr>
        <w:t>根据评分标准，该项得6分</w:t>
      </w:r>
      <w:r>
        <w:rPr>
          <w:rFonts w:hint="eastAsia"/>
          <w:lang w:val="en-US" w:eastAsia="zh-CN"/>
        </w:rPr>
        <w:t>。</w:t>
      </w:r>
    </w:p>
    <w:p>
      <w:pPr>
        <w:numPr>
          <w:ilvl w:val="0"/>
          <w:numId w:val="4"/>
        </w:numPr>
        <w:ind w:left="600" w:leftChars="0" w:firstLine="0" w:firstLineChars="0"/>
        <w:rPr>
          <w:rFonts w:hint="default"/>
          <w:lang w:val="en-US" w:eastAsia="zh-CN"/>
        </w:rPr>
      </w:pPr>
      <w:r>
        <w:rPr>
          <w:rFonts w:hint="default" w:ascii="仿宋_GB2312" w:hAnsi="仿宋_GB2312" w:cs="仿宋_GB2312"/>
          <w:lang w:val="en-US" w:eastAsia="zh-CN"/>
        </w:rPr>
        <w:t>绩效管理有效性</w:t>
      </w:r>
      <w:r>
        <w:rPr>
          <w:rFonts w:hint="eastAsia" w:ascii="仿宋_GB2312" w:hAnsi="仿宋_GB2312" w:cs="仿宋_GB2312"/>
          <w:lang w:val="en-US" w:eastAsia="zh-CN"/>
        </w:rPr>
        <w:t>（5分）</w:t>
      </w:r>
    </w:p>
    <w:p>
      <w:pPr>
        <w:pStyle w:val="2"/>
        <w:numPr>
          <w:ilvl w:val="0"/>
          <w:numId w:val="0"/>
        </w:numPr>
        <w:ind w:firstLine="600" w:firstLineChars="200"/>
        <w:rPr>
          <w:rFonts w:hint="eastAsia"/>
          <w:lang w:val="en-US" w:eastAsia="zh-CN"/>
        </w:rPr>
      </w:pPr>
      <w:r>
        <w:rPr>
          <w:rFonts w:hint="eastAsia" w:ascii="仿宋_GB2312" w:hAnsi="仿宋_GB2312" w:cs="仿宋_GB2312"/>
          <w:lang w:val="en-US" w:eastAsia="zh-CN"/>
        </w:rPr>
        <w:t>项目自评资料报送及时，项目执行进度符合年度绩效指标，项目过程定期开展督导考核工作，上年度绩效评价结果应用到项目的预算安排、政策调整和改进管理中。项目绩效管理合理、有效，根据评分标准，该项得5分</w:t>
      </w:r>
      <w:r>
        <w:rPr>
          <w:rFonts w:hint="eastAsia"/>
          <w:lang w:val="en-US" w:eastAsia="zh-CN"/>
        </w:rPr>
        <w:t>。</w:t>
      </w:r>
    </w:p>
    <w:p>
      <w:pPr>
        <w:numPr>
          <w:ilvl w:val="0"/>
          <w:numId w:val="4"/>
        </w:numPr>
        <w:ind w:left="600" w:leftChars="0" w:firstLine="0" w:firstLineChars="0"/>
        <w:rPr>
          <w:rFonts w:hint="default"/>
          <w:lang w:val="en-US" w:eastAsia="zh-CN"/>
        </w:rPr>
      </w:pPr>
      <w:r>
        <w:rPr>
          <w:rFonts w:hint="default"/>
          <w:lang w:val="en-US" w:eastAsia="zh-CN"/>
        </w:rPr>
        <w:t>制度执行有效性</w:t>
      </w:r>
      <w:r>
        <w:rPr>
          <w:rFonts w:hint="eastAsia"/>
          <w:lang w:val="en-US" w:eastAsia="zh-CN"/>
        </w:rPr>
        <w:t>（6分）</w:t>
      </w:r>
    </w:p>
    <w:p>
      <w:pPr>
        <w:pStyle w:val="2"/>
        <w:numPr>
          <w:ilvl w:val="0"/>
          <w:numId w:val="0"/>
        </w:numPr>
        <w:ind w:firstLine="600" w:firstLineChars="200"/>
        <w:rPr>
          <w:rFonts w:hint="default" w:ascii="仿宋_GB2312" w:hAnsi="仿宋_GB2312" w:cs="仿宋_GB2312"/>
          <w:lang w:val="en-US" w:eastAsia="zh-CN"/>
        </w:rPr>
      </w:pPr>
      <w:r>
        <w:rPr>
          <w:rFonts w:hint="eastAsia" w:ascii="仿宋_GB2312" w:hAnsi="仿宋_GB2312" w:cs="仿宋_GB2312"/>
          <w:lang w:val="en-US" w:eastAsia="zh-CN"/>
        </w:rPr>
        <w:t>项目执行过程中发生</w:t>
      </w:r>
      <w:r>
        <w:rPr>
          <w:rFonts w:hint="default" w:ascii="仿宋_GB2312" w:hAnsi="仿宋_GB2312" w:cs="仿宋_GB2312"/>
          <w:lang w:val="en-US" w:eastAsia="zh-CN"/>
        </w:rPr>
        <w:t>调整及支出调整手续完备；项目合同书、</w:t>
      </w:r>
      <w:r>
        <w:rPr>
          <w:rFonts w:hint="eastAsia" w:ascii="仿宋_GB2312" w:hAnsi="仿宋_GB2312" w:cs="仿宋_GB2312"/>
          <w:lang w:val="en-US" w:eastAsia="zh-CN"/>
        </w:rPr>
        <w:t>招投标资料</w:t>
      </w:r>
      <w:r>
        <w:rPr>
          <w:rFonts w:hint="default" w:ascii="仿宋_GB2312" w:hAnsi="仿宋_GB2312" w:cs="仿宋_GB2312"/>
          <w:lang w:val="en-US" w:eastAsia="zh-CN"/>
        </w:rPr>
        <w:t>、技术鉴定等资料齐全并及时归档；项目实施的人员条件、场地设备、信息支撑等</w:t>
      </w:r>
      <w:r>
        <w:rPr>
          <w:rFonts w:hint="eastAsia" w:ascii="仿宋_GB2312" w:hAnsi="仿宋_GB2312" w:cs="仿宋_GB2312"/>
          <w:lang w:val="en-US" w:eastAsia="zh-CN"/>
        </w:rPr>
        <w:t>均已</w:t>
      </w:r>
      <w:r>
        <w:rPr>
          <w:rFonts w:hint="default" w:ascii="仿宋_GB2312" w:hAnsi="仿宋_GB2312" w:cs="仿宋_GB2312"/>
          <w:lang w:val="en-US" w:eastAsia="zh-CN"/>
        </w:rPr>
        <w:t>落实到位</w:t>
      </w:r>
      <w:r>
        <w:rPr>
          <w:rFonts w:hint="eastAsia" w:ascii="仿宋_GB2312" w:hAnsi="仿宋_GB2312" w:cs="仿宋_GB2312"/>
          <w:lang w:val="en-US" w:eastAsia="zh-CN"/>
        </w:rPr>
        <w:t>。根据评分标准，该项得6分</w:t>
      </w:r>
      <w:r>
        <w:rPr>
          <w:rFonts w:hint="eastAsia"/>
          <w:lang w:val="en-US" w:eastAsia="zh-CN"/>
        </w:rPr>
        <w:t>。</w:t>
      </w:r>
    </w:p>
    <w:p>
      <w:pPr>
        <w:spacing w:line="440" w:lineRule="exact"/>
        <w:ind w:firstLine="600" w:firstLineChars="200"/>
        <w:outlineLvl w:val="0"/>
        <w:rPr>
          <w:rFonts w:ascii="楷体_GB2312" w:eastAsia="楷体_GB2312"/>
        </w:rPr>
      </w:pPr>
      <w:r>
        <w:rPr>
          <w:rFonts w:hint="eastAsia" w:ascii="楷体_GB2312" w:eastAsia="楷体_GB2312"/>
        </w:rPr>
        <w:t>（三）项目产出情况</w:t>
      </w:r>
    </w:p>
    <w:p>
      <w:pPr>
        <w:spacing w:line="440" w:lineRule="exact"/>
        <w:ind w:firstLine="600" w:firstLineChars="200"/>
        <w:outlineLvl w:val="0"/>
        <w:rPr>
          <w:rFonts w:hint="eastAsia" w:ascii="仿宋_GB2312"/>
          <w:lang w:val="en-US" w:eastAsia="zh-CN"/>
        </w:rPr>
      </w:pPr>
      <w:r>
        <w:rPr>
          <w:rFonts w:hint="eastAsia" w:ascii="仿宋_GB2312"/>
          <w:lang w:val="en-US" w:eastAsia="zh-CN"/>
        </w:rPr>
        <w:t>1、产出数量</w:t>
      </w:r>
    </w:p>
    <w:p>
      <w:pPr>
        <w:pStyle w:val="2"/>
        <w:numPr>
          <w:ilvl w:val="0"/>
          <w:numId w:val="0"/>
        </w:numPr>
        <w:ind w:firstLine="600" w:firstLineChars="200"/>
        <w:rPr>
          <w:rFonts w:hint="eastAsia"/>
          <w:lang w:val="en-US" w:eastAsia="zh-CN"/>
        </w:rPr>
      </w:pPr>
      <w:r>
        <w:rPr>
          <w:rFonts w:hint="eastAsia"/>
          <w:lang w:val="en-US" w:eastAsia="zh-CN"/>
        </w:rPr>
        <w:t>三级指标实际完成率</w:t>
      </w:r>
      <w:r>
        <w:rPr>
          <w:rFonts w:hint="default" w:ascii="仿宋_GB2312" w:hAnsi="仿宋_GB2312" w:cs="仿宋_GB2312"/>
          <w:lang w:val="en-US" w:eastAsia="zh-CN"/>
        </w:rPr>
        <w:t>包括诉讼服务中心配套及智能化项目审判家具等建设安装进度</w:t>
      </w:r>
      <w:r>
        <w:rPr>
          <w:rFonts w:hint="eastAsia" w:ascii="仿宋_GB2312" w:hAnsi="仿宋_GB2312" w:cs="仿宋_GB2312"/>
          <w:lang w:val="en-US" w:eastAsia="zh-CN"/>
        </w:rPr>
        <w:t>、资金收款单位数量2</w:t>
      </w:r>
      <w:r>
        <w:rPr>
          <w:rFonts w:hint="default" w:ascii="仿宋_GB2312" w:hAnsi="仿宋_GB2312" w:cs="仿宋_GB2312"/>
          <w:lang w:val="en-US" w:eastAsia="zh-CN"/>
        </w:rPr>
        <w:t>个</w:t>
      </w:r>
      <w:r>
        <w:rPr>
          <w:rFonts w:hint="eastAsia" w:ascii="仿宋_GB2312" w:hAnsi="仿宋_GB2312" w:cs="仿宋_GB2312"/>
          <w:lang w:val="en-US" w:eastAsia="zh-CN"/>
        </w:rPr>
        <w:t>四</w:t>
      </w:r>
      <w:r>
        <w:rPr>
          <w:rFonts w:hint="default" w:ascii="仿宋_GB2312" w:hAnsi="仿宋_GB2312" w:cs="仿宋_GB2312"/>
          <w:lang w:val="en-US" w:eastAsia="zh-CN"/>
        </w:rPr>
        <w:t>级指标</w:t>
      </w:r>
    </w:p>
    <w:p>
      <w:pPr>
        <w:pStyle w:val="2"/>
        <w:numPr>
          <w:ilvl w:val="0"/>
          <w:numId w:val="0"/>
        </w:numPr>
        <w:ind w:firstLine="600" w:firstLineChars="200"/>
        <w:rPr>
          <w:rFonts w:hint="eastAsia"/>
          <w:lang w:val="en-US" w:eastAsia="zh-CN"/>
        </w:rPr>
      </w:pPr>
      <w:r>
        <w:rPr>
          <w:rFonts w:hint="eastAsia"/>
          <w:lang w:val="en-US" w:eastAsia="zh-CN"/>
        </w:rPr>
        <w:t>（1）</w:t>
      </w:r>
      <w:r>
        <w:rPr>
          <w:rFonts w:hint="default" w:ascii="仿宋_GB2312" w:hAnsi="仿宋_GB2312" w:cs="仿宋_GB2312"/>
          <w:lang w:val="en-US" w:eastAsia="zh-CN"/>
        </w:rPr>
        <w:t>诉讼服务中心配套及智能化项目审判家具等建设安装进度</w:t>
      </w:r>
      <w:r>
        <w:rPr>
          <w:rFonts w:hint="eastAsia" w:ascii="仿宋_GB2312" w:hAnsi="仿宋_GB2312" w:cs="仿宋_GB2312"/>
          <w:lang w:val="en-US" w:eastAsia="zh-CN"/>
        </w:rPr>
        <w:t>（5分）</w:t>
      </w:r>
    </w:p>
    <w:p>
      <w:pPr>
        <w:pStyle w:val="2"/>
        <w:numPr>
          <w:ilvl w:val="0"/>
          <w:numId w:val="0"/>
        </w:numPr>
        <w:ind w:firstLine="600" w:firstLineChars="200"/>
        <w:rPr>
          <w:rFonts w:hint="eastAsia"/>
          <w:lang w:val="en-US" w:eastAsia="zh-CN"/>
        </w:rPr>
      </w:pPr>
      <w:r>
        <w:rPr>
          <w:rFonts w:hint="eastAsia"/>
          <w:lang w:val="en-US" w:eastAsia="zh-CN"/>
        </w:rPr>
        <w:t xml:space="preserve"> 诉讼服务中心配套及智能化项目审判家具等建设安装进度年初预计≥30%，2022年全年项目整体进度64.25%，完成超前完成34.25%，项目已在规定时间段内完成约定事项。</w:t>
      </w:r>
      <w:r>
        <w:rPr>
          <w:rFonts w:hint="eastAsia" w:ascii="仿宋_GB2312" w:hAnsi="仿宋_GB2312" w:cs="仿宋_GB2312"/>
          <w:lang w:val="en-US" w:eastAsia="zh-CN"/>
        </w:rPr>
        <w:t>根据评分标准，该项得5分</w:t>
      </w:r>
      <w:r>
        <w:rPr>
          <w:rFonts w:hint="eastAsia"/>
          <w:lang w:val="en-US" w:eastAsia="zh-CN"/>
        </w:rPr>
        <w:t>。</w:t>
      </w:r>
    </w:p>
    <w:p>
      <w:pPr>
        <w:pStyle w:val="2"/>
        <w:numPr>
          <w:ilvl w:val="0"/>
          <w:numId w:val="0"/>
        </w:numPr>
        <w:ind w:firstLine="600" w:firstLineChars="200"/>
        <w:rPr>
          <w:rFonts w:hint="eastAsia"/>
          <w:lang w:val="en-US" w:eastAsia="zh-CN"/>
        </w:rPr>
      </w:pPr>
      <w:r>
        <w:rPr>
          <w:rFonts w:hint="eastAsia"/>
          <w:lang w:val="en-US" w:eastAsia="zh-CN"/>
        </w:rPr>
        <w:t>（2）资金收款单位数量</w:t>
      </w:r>
      <w:r>
        <w:rPr>
          <w:rFonts w:hint="eastAsia" w:ascii="仿宋_GB2312" w:hAnsi="仿宋_GB2312" w:cs="仿宋_GB2312"/>
          <w:lang w:val="en-US" w:eastAsia="zh-CN"/>
        </w:rPr>
        <w:t>（5分）</w:t>
      </w:r>
    </w:p>
    <w:p>
      <w:pPr>
        <w:pStyle w:val="2"/>
        <w:numPr>
          <w:ilvl w:val="0"/>
          <w:numId w:val="0"/>
        </w:numPr>
        <w:ind w:firstLine="600" w:firstLineChars="200"/>
        <w:rPr>
          <w:rFonts w:hint="default"/>
          <w:lang w:val="en-US" w:eastAsia="zh-CN"/>
        </w:rPr>
      </w:pPr>
      <w:r>
        <w:rPr>
          <w:rFonts w:hint="eastAsia"/>
          <w:lang w:val="en-US" w:eastAsia="zh-CN"/>
        </w:rPr>
        <w:t>该项目年初预计拨款单位≥3个，因工作完成进度超前完成计划约定事项，各单位均提交了付款申请，经开会讨论，将付款单位数量提升至5家，总预算资金保持不变。</w:t>
      </w:r>
      <w:r>
        <w:rPr>
          <w:rFonts w:hint="eastAsia" w:ascii="仿宋_GB2312" w:hAnsi="仿宋_GB2312" w:cs="仿宋_GB2312"/>
          <w:lang w:val="en-US" w:eastAsia="zh-CN"/>
        </w:rPr>
        <w:t>根据评分标准，该项得5分</w:t>
      </w:r>
      <w:r>
        <w:rPr>
          <w:rFonts w:hint="eastAsia"/>
          <w:lang w:val="en-US" w:eastAsia="zh-CN"/>
        </w:rPr>
        <w:t>。</w:t>
      </w:r>
    </w:p>
    <w:p>
      <w:pPr>
        <w:rPr>
          <w:rFonts w:hint="default"/>
          <w:lang w:val="en-US" w:eastAsia="zh-CN"/>
        </w:rPr>
      </w:pPr>
    </w:p>
    <w:p>
      <w:pPr>
        <w:pStyle w:val="2"/>
        <w:tabs>
          <w:tab w:val="left" w:pos="1239"/>
        </w:tabs>
        <w:rPr>
          <w:rFonts w:hint="default"/>
          <w:lang w:val="en-US" w:eastAsia="zh-CN"/>
        </w:rPr>
      </w:pPr>
      <w:r>
        <w:rPr>
          <w:rFonts w:hint="eastAsia"/>
          <w:lang w:val="en-US" w:eastAsia="zh-CN"/>
        </w:rPr>
        <w:t xml:space="preserve">    2、产出质量</w:t>
      </w:r>
    </w:p>
    <w:p>
      <w:pPr>
        <w:pStyle w:val="2"/>
        <w:numPr>
          <w:ilvl w:val="0"/>
          <w:numId w:val="0"/>
        </w:numPr>
        <w:ind w:firstLine="600" w:firstLineChars="200"/>
        <w:rPr>
          <w:rFonts w:hint="eastAsia" w:ascii="仿宋_GB2312"/>
        </w:rPr>
      </w:pPr>
      <w:r>
        <w:rPr>
          <w:rFonts w:hint="eastAsia"/>
          <w:lang w:val="en-US" w:eastAsia="zh-CN"/>
        </w:rPr>
        <w:t>三级指标质量达标率</w:t>
      </w:r>
      <w:r>
        <w:rPr>
          <w:rFonts w:hint="default" w:ascii="仿宋_GB2312" w:hAnsi="仿宋_GB2312" w:cs="仿宋_GB2312"/>
          <w:lang w:val="en-US" w:eastAsia="zh-CN"/>
        </w:rPr>
        <w:t>包括工程监理验收合格率</w:t>
      </w:r>
      <w:r>
        <w:rPr>
          <w:rFonts w:hint="eastAsia" w:ascii="仿宋_GB2312" w:hAnsi="仿宋_GB2312" w:cs="仿宋_GB2312"/>
          <w:lang w:val="en-US" w:eastAsia="zh-CN"/>
        </w:rPr>
        <w:t>、检测报告质量达标率2</w:t>
      </w:r>
      <w:r>
        <w:rPr>
          <w:rFonts w:hint="default" w:ascii="仿宋_GB2312" w:hAnsi="仿宋_GB2312" w:cs="仿宋_GB2312"/>
          <w:lang w:val="en-US" w:eastAsia="zh-CN"/>
        </w:rPr>
        <w:t>个</w:t>
      </w:r>
      <w:r>
        <w:rPr>
          <w:rFonts w:hint="eastAsia" w:ascii="仿宋_GB2312" w:hAnsi="仿宋_GB2312" w:cs="仿宋_GB2312"/>
          <w:lang w:val="en-US" w:eastAsia="zh-CN"/>
        </w:rPr>
        <w:t>四</w:t>
      </w:r>
      <w:r>
        <w:rPr>
          <w:rFonts w:hint="default" w:ascii="仿宋_GB2312" w:hAnsi="仿宋_GB2312" w:cs="仿宋_GB2312"/>
          <w:lang w:val="en-US" w:eastAsia="zh-CN"/>
        </w:rPr>
        <w:t>级指标</w:t>
      </w:r>
    </w:p>
    <w:p>
      <w:pPr>
        <w:pStyle w:val="2"/>
        <w:numPr>
          <w:ilvl w:val="0"/>
          <w:numId w:val="0"/>
        </w:numPr>
        <w:ind w:firstLine="600" w:firstLineChars="200"/>
        <w:rPr>
          <w:rFonts w:hint="eastAsia" w:ascii="仿宋_GB2312" w:eastAsia="仿宋_GB2312"/>
          <w:lang w:eastAsia="zh-CN"/>
        </w:rPr>
      </w:pPr>
      <w:r>
        <w:rPr>
          <w:rFonts w:hint="eastAsia" w:ascii="仿宋_GB2312"/>
          <w:lang w:eastAsia="zh-CN"/>
        </w:rPr>
        <w:t>（</w:t>
      </w:r>
      <w:r>
        <w:rPr>
          <w:rFonts w:hint="eastAsia" w:ascii="仿宋_GB2312"/>
          <w:lang w:val="en-US" w:eastAsia="zh-CN"/>
        </w:rPr>
        <w:t>1</w:t>
      </w:r>
      <w:r>
        <w:rPr>
          <w:rFonts w:hint="eastAsia" w:ascii="仿宋_GB2312"/>
          <w:lang w:eastAsia="zh-CN"/>
        </w:rPr>
        <w:t>）</w:t>
      </w:r>
      <w:r>
        <w:rPr>
          <w:rFonts w:hint="default" w:ascii="仿宋_GB2312" w:hAnsi="仿宋_GB2312" w:cs="仿宋_GB2312"/>
          <w:lang w:val="en-US" w:eastAsia="zh-CN"/>
        </w:rPr>
        <w:t>工程监理验收合格率</w:t>
      </w:r>
      <w:r>
        <w:rPr>
          <w:rFonts w:hint="eastAsia" w:ascii="仿宋_GB2312" w:hAnsi="仿宋_GB2312" w:cs="仿宋_GB2312"/>
          <w:lang w:val="en-US" w:eastAsia="zh-CN"/>
        </w:rPr>
        <w:t>（5分）</w:t>
      </w:r>
    </w:p>
    <w:p>
      <w:pPr>
        <w:pStyle w:val="2"/>
        <w:numPr>
          <w:ilvl w:val="0"/>
          <w:numId w:val="0"/>
        </w:numPr>
        <w:ind w:firstLine="600" w:firstLineChars="200"/>
        <w:rPr>
          <w:rFonts w:hint="eastAsia"/>
          <w:lang w:val="en-US" w:eastAsia="zh-CN"/>
        </w:rPr>
      </w:pPr>
      <w:r>
        <w:rPr>
          <w:rFonts w:hint="eastAsia"/>
          <w:lang w:val="en-US" w:eastAsia="zh-CN"/>
        </w:rPr>
        <w:t>诉讼服务中心配套及智能化项目审判家具等建设安装公开招标确定供应商，建设安装过程中子项目验收合格，产出质量达标率100%。</w:t>
      </w:r>
      <w:r>
        <w:rPr>
          <w:rFonts w:hint="eastAsia" w:ascii="仿宋_GB2312" w:hAnsi="仿宋_GB2312" w:cs="仿宋_GB2312"/>
          <w:lang w:val="en-US" w:eastAsia="zh-CN"/>
        </w:rPr>
        <w:t>根据评分标准，该项得5分</w:t>
      </w:r>
      <w:r>
        <w:rPr>
          <w:rFonts w:hint="eastAsia"/>
          <w:lang w:val="en-US" w:eastAsia="zh-CN"/>
        </w:rPr>
        <w:t>。</w:t>
      </w:r>
    </w:p>
    <w:p>
      <w:pPr>
        <w:numPr>
          <w:ilvl w:val="0"/>
          <w:numId w:val="5"/>
        </w:numPr>
        <w:ind w:left="750" w:leftChars="0" w:firstLine="0" w:firstLineChars="0"/>
        <w:rPr>
          <w:rFonts w:hint="eastAsia" w:ascii="仿宋_GB2312" w:hAnsi="仿宋_GB2312" w:cs="仿宋_GB2312"/>
          <w:lang w:val="en-US" w:eastAsia="zh-CN"/>
        </w:rPr>
      </w:pPr>
      <w:r>
        <w:rPr>
          <w:rFonts w:hint="eastAsia" w:ascii="仿宋_GB2312" w:hAnsi="仿宋_GB2312" w:cs="仿宋_GB2312"/>
          <w:lang w:val="en-US" w:eastAsia="zh-CN"/>
        </w:rPr>
        <w:t>检测报告质量达标率（5分）</w:t>
      </w:r>
    </w:p>
    <w:p>
      <w:pPr>
        <w:pStyle w:val="2"/>
        <w:numPr>
          <w:ilvl w:val="0"/>
          <w:numId w:val="0"/>
        </w:numPr>
        <w:ind w:firstLine="600" w:firstLineChars="200"/>
        <w:rPr>
          <w:rFonts w:hint="default"/>
          <w:lang w:val="en-US" w:eastAsia="zh-CN"/>
        </w:rPr>
      </w:pPr>
      <w:r>
        <w:rPr>
          <w:rFonts w:hint="eastAsia"/>
          <w:lang w:val="en-US" w:eastAsia="zh-CN"/>
        </w:rPr>
        <w:t>项目工程监理、安装出具的子项目检测报告，均有权威机构盖章确认，报告质量达标率100%。</w:t>
      </w:r>
      <w:r>
        <w:rPr>
          <w:rFonts w:hint="eastAsia" w:ascii="仿宋_GB2312" w:hAnsi="仿宋_GB2312" w:cs="仿宋_GB2312"/>
          <w:lang w:val="en-US" w:eastAsia="zh-CN"/>
        </w:rPr>
        <w:t>根据评分标准，该项得5分</w:t>
      </w:r>
      <w:r>
        <w:rPr>
          <w:rFonts w:hint="eastAsia"/>
          <w:lang w:val="en-US" w:eastAsia="zh-CN"/>
        </w:rPr>
        <w:t>。</w:t>
      </w:r>
    </w:p>
    <w:p>
      <w:pPr>
        <w:pStyle w:val="2"/>
        <w:numPr>
          <w:ilvl w:val="0"/>
          <w:numId w:val="0"/>
        </w:numPr>
        <w:ind w:left="600" w:leftChars="0"/>
        <w:rPr>
          <w:rFonts w:hint="eastAsia" w:ascii="仿宋_GB2312"/>
          <w:lang w:val="en-US" w:eastAsia="zh-CN"/>
        </w:rPr>
      </w:pPr>
      <w:r>
        <w:rPr>
          <w:rFonts w:hint="eastAsia" w:ascii="仿宋_GB2312"/>
          <w:lang w:val="en-US" w:eastAsia="zh-CN"/>
        </w:rPr>
        <w:t>3、产出时效</w:t>
      </w:r>
    </w:p>
    <w:p>
      <w:pPr>
        <w:pStyle w:val="2"/>
        <w:numPr>
          <w:ilvl w:val="0"/>
          <w:numId w:val="0"/>
        </w:numPr>
        <w:ind w:firstLine="600" w:firstLineChars="200"/>
        <w:rPr>
          <w:rFonts w:hint="default" w:ascii="仿宋_GB2312" w:hAnsi="仿宋_GB2312" w:cs="仿宋_GB2312"/>
          <w:lang w:val="en-US" w:eastAsia="zh-CN"/>
        </w:rPr>
      </w:pPr>
      <w:r>
        <w:rPr>
          <w:rFonts w:hint="default"/>
          <w:lang w:val="en-US" w:eastAsia="zh-CN"/>
        </w:rPr>
        <w:t>完成及时率</w:t>
      </w:r>
      <w:r>
        <w:rPr>
          <w:rFonts w:hint="eastAsia"/>
          <w:lang w:val="en-US" w:eastAsia="zh-CN"/>
        </w:rPr>
        <w:t>：诉讼服务中心配套及智能化项目审判家具等建设安装项目按照计划进行，在工程规定时间内提报验收，未出现停工、滞后情况。</w:t>
      </w:r>
      <w:r>
        <w:rPr>
          <w:rFonts w:hint="eastAsia" w:ascii="仿宋_GB2312" w:hAnsi="仿宋_GB2312" w:cs="仿宋_GB2312"/>
          <w:lang w:val="en-US" w:eastAsia="zh-CN"/>
        </w:rPr>
        <w:t>根据评分标准，该项得5分</w:t>
      </w:r>
      <w:r>
        <w:rPr>
          <w:rFonts w:hint="eastAsia"/>
          <w:lang w:val="en-US" w:eastAsia="zh-CN"/>
        </w:rPr>
        <w:t>。</w:t>
      </w:r>
    </w:p>
    <w:p>
      <w:pPr>
        <w:numPr>
          <w:ilvl w:val="0"/>
          <w:numId w:val="0"/>
        </w:numPr>
        <w:spacing w:line="440" w:lineRule="exact"/>
        <w:ind w:left="600" w:leftChars="0"/>
        <w:outlineLvl w:val="0"/>
        <w:rPr>
          <w:rFonts w:hint="eastAsia"/>
          <w:lang w:val="en-US" w:eastAsia="zh-CN"/>
        </w:rPr>
      </w:pPr>
      <w:r>
        <w:rPr>
          <w:rFonts w:hint="eastAsia"/>
          <w:lang w:val="en-US" w:eastAsia="zh-CN"/>
        </w:rPr>
        <w:t>4、产出成本</w:t>
      </w:r>
    </w:p>
    <w:p>
      <w:pPr>
        <w:pStyle w:val="2"/>
        <w:numPr>
          <w:ilvl w:val="0"/>
          <w:numId w:val="0"/>
        </w:numPr>
        <w:ind w:firstLine="600" w:firstLineChars="200"/>
        <w:rPr>
          <w:rFonts w:hint="eastAsia"/>
          <w:lang w:val="en-US" w:eastAsia="zh-CN"/>
        </w:rPr>
      </w:pPr>
      <w:r>
        <w:rPr>
          <w:rFonts w:hint="default"/>
          <w:lang w:val="en-US" w:eastAsia="zh-CN"/>
        </w:rPr>
        <w:t>成本节约率</w:t>
      </w:r>
      <w:r>
        <w:rPr>
          <w:rFonts w:hint="eastAsia"/>
          <w:lang w:val="en-US" w:eastAsia="zh-CN"/>
        </w:rPr>
        <w:t>：诉讼服务中心配套及智能化项目审判家具等建设安装项目按照财政预算批复采购，未出现超预算支出情况。根据评分标准，该项得5分。</w:t>
      </w:r>
    </w:p>
    <w:p>
      <w:pPr>
        <w:rPr>
          <w:rFonts w:ascii="楷体_GB2312" w:eastAsia="楷体_GB2312"/>
        </w:rPr>
      </w:pPr>
      <w:r>
        <w:rPr>
          <w:rFonts w:hint="eastAsia"/>
          <w:lang w:val="en-US" w:eastAsia="zh-CN"/>
        </w:rPr>
        <w:t xml:space="preserve">    </w:t>
      </w:r>
      <w:r>
        <w:rPr>
          <w:rFonts w:hint="eastAsia" w:ascii="楷体_GB2312" w:eastAsia="楷体_GB2312"/>
        </w:rPr>
        <w:t>（四）项目效益情况</w:t>
      </w:r>
      <w:bookmarkStart w:id="62" w:name="_GoBack"/>
      <w:bookmarkEnd w:id="62"/>
    </w:p>
    <w:p>
      <w:pPr>
        <w:spacing w:line="440" w:lineRule="exact"/>
        <w:ind w:firstLine="600" w:firstLineChars="200"/>
        <w:rPr>
          <w:rFonts w:hint="eastAsia" w:ascii="仿宋_GB2312"/>
          <w:lang w:val="en-US" w:eastAsia="zh-CN"/>
        </w:rPr>
      </w:pPr>
      <w:r>
        <w:rPr>
          <w:rFonts w:hint="eastAsia" w:ascii="仿宋_GB2312"/>
          <w:lang w:val="en-US" w:eastAsia="zh-CN"/>
        </w:rPr>
        <w:t>1、项目效益</w:t>
      </w:r>
    </w:p>
    <w:p>
      <w:pPr>
        <w:spacing w:line="440" w:lineRule="exact"/>
        <w:ind w:firstLine="600" w:firstLineChars="200"/>
        <w:rPr>
          <w:rFonts w:hint="eastAsia" w:ascii="仿宋_GB2312" w:hAnsi="Times New Roman" w:cs="Times New Roman"/>
          <w:lang w:val="en-US" w:eastAsia="zh-CN"/>
        </w:rPr>
      </w:pPr>
      <w:r>
        <w:rPr>
          <w:rFonts w:hint="eastAsia" w:ascii="仿宋_GB2312" w:hAnsi="Times New Roman" w:cs="Times New Roman"/>
          <w:lang w:val="en-US" w:eastAsia="zh-CN"/>
        </w:rPr>
        <w:t>社会效益：推进诉讼服务中心建设，可强化诉前调解立案调解和诉调对接工作，实现涉诉矛盾纠纷的有效化解和涉诉信访的源头治理。</w:t>
      </w:r>
      <w:r>
        <w:rPr>
          <w:rFonts w:hint="default" w:ascii="仿宋_GB2312" w:hAnsi="Times New Roman" w:cs="Times New Roman"/>
          <w:lang w:val="en-US" w:eastAsia="zh-CN"/>
        </w:rPr>
        <w:t>通过充分发挥诉讼服务中心的诉讼服务、纠纷分流和矛盾化解职能作用，切实满足群众司法需求，理顺群众不满情绪引导理性表达诉求，公正高效解决问题，维护群众合法权益，不断加强和改进人民法院工作.把群众路线的要求真正落到实处</w:t>
      </w:r>
      <w:r>
        <w:rPr>
          <w:rFonts w:hint="eastAsia" w:ascii="仿宋_GB2312" w:hAnsi="Times New Roman" w:cs="Times New Roman"/>
          <w:lang w:val="en-US" w:eastAsia="zh-CN"/>
        </w:rPr>
        <w:t>。根据评分标准，该项得</w:t>
      </w:r>
      <w:r>
        <w:rPr>
          <w:rFonts w:hint="eastAsia" w:ascii="仿宋_GB2312" w:cs="Times New Roman"/>
          <w:lang w:val="en-US" w:eastAsia="zh-CN"/>
        </w:rPr>
        <w:t>14</w:t>
      </w:r>
      <w:r>
        <w:rPr>
          <w:rFonts w:hint="eastAsia" w:ascii="仿宋_GB2312" w:hAnsi="Times New Roman" w:cs="Times New Roman"/>
          <w:lang w:val="en-US" w:eastAsia="zh-CN"/>
        </w:rPr>
        <w:t>分。</w:t>
      </w:r>
    </w:p>
    <w:p>
      <w:pPr>
        <w:ind w:firstLine="600"/>
        <w:rPr>
          <w:rFonts w:hint="default"/>
          <w:lang w:val="en-US" w:eastAsia="zh-CN"/>
        </w:rPr>
      </w:pPr>
      <w:r>
        <w:rPr>
          <w:rFonts w:hint="eastAsia"/>
          <w:lang w:val="en-US" w:eastAsia="zh-CN"/>
        </w:rPr>
        <w:t>2、可持续影响</w:t>
      </w:r>
    </w:p>
    <w:p>
      <w:pPr>
        <w:spacing w:line="440" w:lineRule="exact"/>
        <w:ind w:firstLine="300" w:firstLineChars="100"/>
        <w:rPr>
          <w:rFonts w:hint="eastAsia" w:ascii="仿宋_GB2312"/>
        </w:rPr>
      </w:pPr>
      <w:r>
        <w:rPr>
          <w:rFonts w:hint="eastAsia" w:ascii="仿宋_GB2312"/>
          <w:lang w:eastAsia="zh-CN"/>
        </w:rPr>
        <w:t>（</w:t>
      </w:r>
      <w:r>
        <w:rPr>
          <w:rFonts w:hint="eastAsia" w:ascii="仿宋_GB2312"/>
          <w:lang w:val="en-US" w:eastAsia="zh-CN"/>
        </w:rPr>
        <w:t>1</w:t>
      </w:r>
      <w:r>
        <w:rPr>
          <w:rFonts w:hint="eastAsia" w:ascii="仿宋_GB2312"/>
          <w:lang w:eastAsia="zh-CN"/>
        </w:rPr>
        <w:t>）</w:t>
      </w:r>
      <w:r>
        <w:rPr>
          <w:rFonts w:hint="eastAsia" w:ascii="仿宋_GB2312"/>
        </w:rPr>
        <w:t>效益可持续性</w:t>
      </w:r>
    </w:p>
    <w:p>
      <w:pPr>
        <w:spacing w:line="440" w:lineRule="exact"/>
        <w:ind w:firstLine="600" w:firstLineChars="200"/>
        <w:rPr>
          <w:rFonts w:hint="eastAsia" w:ascii="仿宋_GB2312" w:hAnsi="Times New Roman" w:cs="Times New Roman"/>
          <w:lang w:val="en-US" w:eastAsia="zh-CN"/>
        </w:rPr>
      </w:pPr>
      <w:r>
        <w:rPr>
          <w:rFonts w:hint="eastAsia" w:ascii="仿宋_GB2312"/>
          <w:lang w:val="en-US" w:eastAsia="zh-CN"/>
        </w:rPr>
        <w:t>项目建成运行后，将进一步完善为民、便民、利民的司法服务机制，使当事人充分感受一站式、全方位、一体化的诉讼服务，具有较为深远的影响。</w:t>
      </w:r>
      <w:r>
        <w:rPr>
          <w:rFonts w:hint="eastAsia" w:ascii="仿宋_GB2312" w:hAnsi="Times New Roman" w:cs="Times New Roman"/>
          <w:lang w:val="en-US" w:eastAsia="zh-CN"/>
        </w:rPr>
        <w:t>根据评分标准，该项得</w:t>
      </w:r>
      <w:r>
        <w:rPr>
          <w:rFonts w:hint="eastAsia" w:ascii="仿宋_GB2312" w:cs="Times New Roman"/>
          <w:lang w:val="en-US" w:eastAsia="zh-CN"/>
        </w:rPr>
        <w:t>7</w:t>
      </w:r>
      <w:r>
        <w:rPr>
          <w:rFonts w:hint="eastAsia" w:ascii="仿宋_GB2312" w:hAnsi="Times New Roman" w:cs="Times New Roman"/>
          <w:lang w:val="en-US" w:eastAsia="zh-CN"/>
        </w:rPr>
        <w:t>分。</w:t>
      </w:r>
    </w:p>
    <w:p>
      <w:pPr>
        <w:pStyle w:val="2"/>
        <w:numPr>
          <w:ilvl w:val="0"/>
          <w:numId w:val="6"/>
        </w:numPr>
        <w:ind w:left="300" w:leftChars="0" w:firstLine="0" w:firstLineChars="0"/>
        <w:rPr>
          <w:rFonts w:hint="eastAsia"/>
          <w:lang w:val="en-US" w:eastAsia="zh-CN"/>
        </w:rPr>
      </w:pPr>
      <w:r>
        <w:rPr>
          <w:rFonts w:hint="eastAsia"/>
          <w:lang w:val="en-US" w:eastAsia="zh-CN"/>
        </w:rPr>
        <w:t>项目发展机制可持续性</w:t>
      </w:r>
    </w:p>
    <w:p>
      <w:pPr>
        <w:spacing w:line="440" w:lineRule="exact"/>
        <w:ind w:firstLine="600" w:firstLineChars="200"/>
        <w:rPr>
          <w:rFonts w:hint="eastAsia" w:ascii="仿宋_GB2312" w:hAnsi="Times New Roman" w:cs="Times New Roman"/>
          <w:lang w:val="en-US" w:eastAsia="zh-CN"/>
        </w:rPr>
      </w:pPr>
      <w:r>
        <w:rPr>
          <w:rFonts w:hint="eastAsia" w:ascii="仿宋_GB2312" w:hAnsi="Times New Roman" w:cs="Times New Roman"/>
          <w:lang w:val="en-US" w:eastAsia="zh-CN"/>
        </w:rPr>
        <w:t>项目后续运转中，会合理分配人员及分工，服务中心改善了办公条件，完善了现有功能，陆续配套出台服务中心管护制度，通过诉讼服务中心窗口，法官队伍的综素质、工合作能力和司法作风直接面对当事人的监督和评判，真正做到公正执法和适应未来法律发展的需要。根据评分标准，该项得</w:t>
      </w:r>
      <w:r>
        <w:rPr>
          <w:rFonts w:hint="eastAsia" w:ascii="仿宋_GB2312" w:cs="Times New Roman"/>
          <w:lang w:val="en-US" w:eastAsia="zh-CN"/>
        </w:rPr>
        <w:t>7</w:t>
      </w:r>
      <w:r>
        <w:rPr>
          <w:rFonts w:hint="eastAsia" w:ascii="仿宋_GB2312" w:hAnsi="Times New Roman" w:cs="Times New Roman"/>
          <w:lang w:val="en-US" w:eastAsia="zh-CN"/>
        </w:rPr>
        <w:t>分。</w:t>
      </w:r>
    </w:p>
    <w:p>
      <w:pPr>
        <w:numPr>
          <w:ilvl w:val="0"/>
          <w:numId w:val="3"/>
        </w:numPr>
        <w:ind w:left="600" w:leftChars="0" w:firstLine="0" w:firstLineChars="0"/>
        <w:rPr>
          <w:rFonts w:hint="eastAsia" w:ascii="仿宋_GB2312" w:hAnsi="Times New Roman" w:cs="Times New Roman"/>
          <w:lang w:val="en-US" w:eastAsia="zh-CN"/>
        </w:rPr>
      </w:pPr>
      <w:r>
        <w:rPr>
          <w:rFonts w:hint="eastAsia" w:ascii="仿宋_GB2312" w:hAnsi="Times New Roman" w:cs="Times New Roman"/>
          <w:lang w:val="en-US" w:eastAsia="zh-CN"/>
        </w:rPr>
        <w:t>满意度</w:t>
      </w:r>
    </w:p>
    <w:p>
      <w:pPr>
        <w:spacing w:line="440" w:lineRule="exact"/>
        <w:ind w:firstLine="600" w:firstLineChars="200"/>
        <w:rPr>
          <w:rFonts w:hint="default" w:ascii="仿宋_GB2312" w:hAnsi="Times New Roman" w:cs="Times New Roman"/>
          <w:lang w:val="en-US" w:eastAsia="zh-CN"/>
        </w:rPr>
      </w:pPr>
      <w:r>
        <w:rPr>
          <w:rFonts w:hint="eastAsia" w:ascii="仿宋_GB2312" w:hAnsi="Times New Roman" w:cs="Times New Roman"/>
          <w:lang w:val="en-US" w:eastAsia="zh-CN"/>
        </w:rPr>
        <w:t>根据问卷调查结果，针对项目运行后先行入驻办公人员的满意度，96.47%的人员表示“非常满意”。根据评分标准，该项得</w:t>
      </w:r>
      <w:r>
        <w:rPr>
          <w:rFonts w:hint="eastAsia" w:ascii="仿宋_GB2312" w:cs="Times New Roman"/>
          <w:lang w:val="en-US" w:eastAsia="zh-CN"/>
        </w:rPr>
        <w:t>7</w:t>
      </w:r>
      <w:r>
        <w:rPr>
          <w:rFonts w:hint="eastAsia" w:ascii="仿宋_GB2312" w:hAnsi="Times New Roman" w:cs="Times New Roman"/>
          <w:lang w:val="en-US" w:eastAsia="zh-CN"/>
        </w:rPr>
        <w:t>分。</w:t>
      </w:r>
    </w:p>
    <w:p>
      <w:pPr>
        <w:spacing w:line="440" w:lineRule="exact"/>
        <w:ind w:firstLine="600" w:firstLineChars="200"/>
        <w:rPr>
          <w:rFonts w:ascii="黑体" w:hAnsi="黑体" w:eastAsia="黑体"/>
        </w:rPr>
      </w:pPr>
      <w:r>
        <w:rPr>
          <w:rFonts w:hint="eastAsia" w:ascii="黑体" w:hAnsi="黑体" w:eastAsia="黑体"/>
        </w:rPr>
        <w:t>五、主要经验及做法</w:t>
      </w:r>
    </w:p>
    <w:p>
      <w:pPr>
        <w:spacing w:line="440" w:lineRule="exact"/>
        <w:ind w:firstLine="600" w:firstLineChars="200"/>
        <w:rPr>
          <w:rFonts w:ascii="仿宋_GB2312"/>
        </w:rPr>
      </w:pPr>
      <w:r>
        <w:rPr>
          <w:rFonts w:hint="eastAsia" w:ascii="仿宋_GB2312"/>
        </w:rPr>
        <w:t>（一）加强开展进度的跟踪，开展项目绩效评价，确保项目绩效目标的完成。</w:t>
      </w:r>
    </w:p>
    <w:p>
      <w:pPr>
        <w:spacing w:line="440" w:lineRule="exact"/>
        <w:ind w:firstLine="600" w:firstLineChars="200"/>
        <w:rPr>
          <w:rFonts w:ascii="仿宋_GB2312"/>
        </w:rPr>
      </w:pPr>
      <w:r>
        <w:rPr>
          <w:rFonts w:hint="eastAsia" w:ascii="仿宋_GB2312"/>
        </w:rPr>
        <w:t>（二）合理设定绩效指标值，侧重产出、效益指标。</w:t>
      </w:r>
    </w:p>
    <w:p>
      <w:pPr>
        <w:spacing w:line="440" w:lineRule="exact"/>
        <w:ind w:firstLine="600" w:firstLineChars="200"/>
        <w:rPr>
          <w:rFonts w:ascii="仿宋_GB2312"/>
        </w:rPr>
      </w:pPr>
      <w:r>
        <w:rPr>
          <w:rFonts w:hint="eastAsia" w:ascii="仿宋_GB2312"/>
        </w:rPr>
        <w:t>（三）认作做好预算的编制，细化预算编制工作。加强内部预算管理，落实预算编制制度，提高预算编制的科学性、严谨性。</w:t>
      </w:r>
    </w:p>
    <w:p>
      <w:pPr>
        <w:spacing w:line="440" w:lineRule="exact"/>
        <w:ind w:firstLine="600" w:firstLineChars="200"/>
        <w:rPr>
          <w:rFonts w:ascii="黑体" w:hAnsi="黑体" w:eastAsia="黑体"/>
        </w:rPr>
      </w:pPr>
      <w:r>
        <w:rPr>
          <w:rFonts w:hint="eastAsia" w:ascii="黑体" w:hAnsi="黑体" w:eastAsia="黑体"/>
        </w:rPr>
        <w:t>六、存在的问题及原因分析</w:t>
      </w:r>
    </w:p>
    <w:p>
      <w:pPr>
        <w:spacing w:line="440" w:lineRule="exact"/>
        <w:ind w:firstLine="600" w:firstLineChars="200"/>
        <w:rPr>
          <w:rFonts w:ascii="仿宋_GB2312"/>
          <w:szCs w:val="30"/>
        </w:rPr>
      </w:pPr>
      <w:r>
        <w:rPr>
          <w:rFonts w:hint="eastAsia" w:ascii="仿宋_GB2312"/>
          <w:szCs w:val="30"/>
        </w:rPr>
        <w:t>存在问题</w:t>
      </w:r>
    </w:p>
    <w:p>
      <w:pPr>
        <w:spacing w:line="440" w:lineRule="exact"/>
        <w:ind w:firstLine="600" w:firstLineChars="200"/>
        <w:rPr>
          <w:rFonts w:ascii="仿宋_GB2312"/>
          <w:szCs w:val="30"/>
        </w:rPr>
      </w:pPr>
      <w:r>
        <w:rPr>
          <w:rFonts w:hint="eastAsia" w:ascii="仿宋_GB2312"/>
          <w:szCs w:val="30"/>
        </w:rPr>
        <w:t>绩效评价体系尚不完善，还处于摸索阶段。</w:t>
      </w:r>
    </w:p>
    <w:p>
      <w:pPr>
        <w:spacing w:line="440" w:lineRule="exact"/>
        <w:ind w:firstLine="600" w:firstLineChars="200"/>
        <w:rPr>
          <w:rFonts w:ascii="仿宋_GB2312"/>
          <w:szCs w:val="30"/>
        </w:rPr>
      </w:pPr>
      <w:r>
        <w:rPr>
          <w:rFonts w:hint="eastAsia" w:ascii="仿宋_GB2312"/>
          <w:szCs w:val="30"/>
        </w:rPr>
        <w:t>分析原因</w:t>
      </w:r>
    </w:p>
    <w:p>
      <w:pPr>
        <w:spacing w:line="440" w:lineRule="exact"/>
        <w:ind w:firstLine="600" w:firstLineChars="200"/>
        <w:rPr>
          <w:rFonts w:ascii="黑体" w:hAnsi="黑体" w:eastAsia="黑体"/>
        </w:rPr>
      </w:pPr>
      <w:r>
        <w:rPr>
          <w:rFonts w:hint="eastAsia" w:ascii="仿宋_GB2312"/>
          <w:szCs w:val="30"/>
        </w:rPr>
        <w:t>绩效评价体系设立新生事物且专业性强，现基层工作人员有限，缺乏相应的行家里手。</w:t>
      </w:r>
    </w:p>
    <w:p>
      <w:pPr>
        <w:spacing w:line="440" w:lineRule="exact"/>
        <w:ind w:firstLine="600" w:firstLineChars="200"/>
        <w:rPr>
          <w:rFonts w:ascii="黑体" w:hAnsi="黑体" w:eastAsia="黑体"/>
        </w:rPr>
      </w:pPr>
      <w:r>
        <w:rPr>
          <w:rFonts w:hint="eastAsia" w:ascii="黑体" w:hAnsi="黑体" w:eastAsia="黑体"/>
        </w:rPr>
        <w:t>七、改进措施</w:t>
      </w:r>
    </w:p>
    <w:p>
      <w:pPr>
        <w:spacing w:line="440" w:lineRule="exact"/>
        <w:ind w:firstLine="600" w:firstLineChars="200"/>
        <w:rPr>
          <w:rFonts w:hint="eastAsia" w:ascii="仿宋_GB2312" w:hAnsi="Times New Roman" w:cs="Times New Roman"/>
        </w:rPr>
      </w:pPr>
      <w:r>
        <w:rPr>
          <w:rFonts w:hint="eastAsia" w:ascii="仿宋_GB2312" w:hAnsi="Times New Roman" w:cs="Times New Roman"/>
        </w:rPr>
        <w:t>（一）预算安排方面</w:t>
      </w:r>
    </w:p>
    <w:p>
      <w:pPr>
        <w:widowControl/>
        <w:adjustRightInd w:val="0"/>
        <w:spacing w:line="440" w:lineRule="exact"/>
        <w:ind w:firstLine="663" w:firstLineChars="221"/>
        <w:rPr>
          <w:rFonts w:ascii="仿宋_GB2312"/>
          <w:szCs w:val="30"/>
        </w:rPr>
      </w:pPr>
      <w:r>
        <w:rPr>
          <w:rFonts w:hint="eastAsia" w:ascii="仿宋_GB2312"/>
          <w:szCs w:val="30"/>
        </w:rPr>
        <w:t>强化绩效意识和绩效管理理念，完善预算编制程序，注重项目论述，加强预算编报工作的科学性、精准性和合理性，进一步提高预算编制的精细化水平，着力实现项目实施的效应。</w:t>
      </w:r>
    </w:p>
    <w:p>
      <w:pPr>
        <w:spacing w:line="440" w:lineRule="exact"/>
        <w:ind w:firstLine="600" w:firstLineChars="200"/>
        <w:rPr>
          <w:rFonts w:hint="eastAsia" w:ascii="仿宋_GB2312" w:hAnsi="Times New Roman" w:cs="Times New Roman"/>
        </w:rPr>
      </w:pPr>
      <w:r>
        <w:rPr>
          <w:rFonts w:hint="eastAsia" w:ascii="仿宋_GB2312" w:hAnsi="Times New Roman" w:cs="Times New Roman"/>
        </w:rPr>
        <w:t>（二）改善管理方面</w:t>
      </w:r>
    </w:p>
    <w:p>
      <w:pPr>
        <w:widowControl/>
        <w:adjustRightInd w:val="0"/>
        <w:spacing w:after="204" w:afterLines="50" w:line="440" w:lineRule="exact"/>
        <w:ind w:firstLine="663" w:firstLineChars="221"/>
        <w:rPr>
          <w:rFonts w:ascii="仿宋_GB2312"/>
          <w:szCs w:val="30"/>
        </w:rPr>
      </w:pPr>
      <w:r>
        <w:rPr>
          <w:rFonts w:hint="eastAsia" w:ascii="仿宋_GB2312"/>
          <w:szCs w:val="30"/>
        </w:rPr>
        <w:t>加强对执行单位的项目执行情况进行检查、监督和指导，针对发现的问题及时提出整改建议，切实做到立行立改；加大项目绩效跟踪力度，加强对项目绩效情况进行核查、督导。</w:t>
      </w:r>
    </w:p>
    <w:p>
      <w:pPr>
        <w:spacing w:line="440" w:lineRule="exact"/>
        <w:ind w:firstLine="640" w:firstLineChars="200"/>
        <w:rPr>
          <w:rFonts w:ascii="楷体_GB2312" w:eastAsia="楷体_GB2312"/>
          <w:color w:val="000000"/>
          <w:sz w:val="32"/>
          <w:szCs w:val="32"/>
        </w:rPr>
      </w:pPr>
    </w:p>
    <w:p>
      <w:pPr>
        <w:adjustRightInd w:val="0"/>
        <w:snapToGrid w:val="0"/>
        <w:spacing w:line="440" w:lineRule="exact"/>
        <w:ind w:firstLine="640" w:firstLineChars="200"/>
        <w:rPr>
          <w:rFonts w:ascii="仿宋_GB2312" w:hAnsi="宋体" w:cs="宋体"/>
          <w:kern w:val="0"/>
          <w:sz w:val="32"/>
          <w:szCs w:val="32"/>
        </w:rPr>
      </w:pPr>
      <w:r>
        <w:rPr>
          <w:rFonts w:hint="eastAsia" w:ascii="仿宋_GB2312" w:hAnsi="宋体" w:cs="宋体"/>
          <w:kern w:val="0"/>
          <w:sz w:val="32"/>
          <w:szCs w:val="32"/>
        </w:rPr>
        <w:t>附件：2022年区法院诉讼服务中心配套及智能化建设项目指标体系</w:t>
      </w: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_GBK">
    <w:panose1 w:val="03000509000000000000"/>
    <w:charset w:val="86"/>
    <w:family w:val="script"/>
    <w:pitch w:val="default"/>
    <w:sig w:usb0="00000001" w:usb1="080E0000" w:usb2="00000000" w:usb3="00000000" w:csb0="00040000" w:csb1="00000000"/>
  </w:font>
  <w:font w:name="文星简黑体">
    <w:altName w:val="黑体"/>
    <w:panose1 w:val="00000000000000000000"/>
    <w:charset w:val="86"/>
    <w:family w:val="roman"/>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C99703"/>
    <w:multiLevelType w:val="singleLevel"/>
    <w:tmpl w:val="8FC99703"/>
    <w:lvl w:ilvl="0" w:tentative="0">
      <w:start w:val="2"/>
      <w:numFmt w:val="decimal"/>
      <w:suff w:val="nothing"/>
      <w:lvlText w:val="（%1）"/>
      <w:lvlJc w:val="left"/>
      <w:pPr>
        <w:ind w:left="750" w:leftChars="0" w:firstLine="0" w:firstLineChars="0"/>
      </w:pPr>
    </w:lvl>
  </w:abstractNum>
  <w:abstractNum w:abstractNumId="1">
    <w:nsid w:val="E9B28DF9"/>
    <w:multiLevelType w:val="singleLevel"/>
    <w:tmpl w:val="E9B28DF9"/>
    <w:lvl w:ilvl="0" w:tentative="0">
      <w:start w:val="2"/>
      <w:numFmt w:val="decimal"/>
      <w:suff w:val="nothing"/>
      <w:lvlText w:val="%1、"/>
      <w:lvlJc w:val="left"/>
      <w:pPr>
        <w:ind w:left="750" w:leftChars="0" w:firstLine="0" w:firstLineChars="0"/>
      </w:pPr>
    </w:lvl>
  </w:abstractNum>
  <w:abstractNum w:abstractNumId="2">
    <w:nsid w:val="EFE1ADE6"/>
    <w:multiLevelType w:val="singleLevel"/>
    <w:tmpl w:val="EFE1ADE6"/>
    <w:lvl w:ilvl="0" w:tentative="0">
      <w:start w:val="1"/>
      <w:numFmt w:val="decimal"/>
      <w:suff w:val="nothing"/>
      <w:lvlText w:val="（%1）"/>
      <w:lvlJc w:val="left"/>
      <w:pPr>
        <w:ind w:left="600" w:leftChars="0" w:firstLine="0" w:firstLineChars="0"/>
      </w:pPr>
    </w:lvl>
  </w:abstractNum>
  <w:abstractNum w:abstractNumId="3">
    <w:nsid w:val="02E05877"/>
    <w:multiLevelType w:val="singleLevel"/>
    <w:tmpl w:val="02E05877"/>
    <w:lvl w:ilvl="0" w:tentative="0">
      <w:start w:val="1"/>
      <w:numFmt w:val="decimal"/>
      <w:suff w:val="nothing"/>
      <w:lvlText w:val="（%1）"/>
      <w:lvlJc w:val="left"/>
    </w:lvl>
  </w:abstractNum>
  <w:abstractNum w:abstractNumId="4">
    <w:nsid w:val="6540FA1A"/>
    <w:multiLevelType w:val="singleLevel"/>
    <w:tmpl w:val="6540FA1A"/>
    <w:lvl w:ilvl="0" w:tentative="0">
      <w:start w:val="2"/>
      <w:numFmt w:val="decimal"/>
      <w:suff w:val="nothing"/>
      <w:lvlText w:val="%1、"/>
      <w:lvlJc w:val="left"/>
      <w:pPr>
        <w:ind w:left="600" w:leftChars="0" w:firstLine="0" w:firstLineChars="0"/>
      </w:pPr>
    </w:lvl>
  </w:abstractNum>
  <w:abstractNum w:abstractNumId="5">
    <w:nsid w:val="7944EC73"/>
    <w:multiLevelType w:val="singleLevel"/>
    <w:tmpl w:val="7944EC73"/>
    <w:lvl w:ilvl="0" w:tentative="0">
      <w:start w:val="2"/>
      <w:numFmt w:val="decimal"/>
      <w:suff w:val="nothing"/>
      <w:lvlText w:val="（%1）"/>
      <w:lvlJc w:val="left"/>
      <w:pPr>
        <w:ind w:left="300" w:leftChars="0" w:firstLine="0" w:firstLineChars="0"/>
      </w:p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50"/>
  <w:drawingGridVerticalSpacing w:val="204"/>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iYWY0NjNmNzA3MzJhMTA2YzUzZDgxODgzZGYyODcifQ=="/>
  </w:docVars>
  <w:rsids>
    <w:rsidRoot w:val="000D3013"/>
    <w:rsid w:val="00000C4F"/>
    <w:rsid w:val="000020B0"/>
    <w:rsid w:val="000041BF"/>
    <w:rsid w:val="000044F4"/>
    <w:rsid w:val="00007E32"/>
    <w:rsid w:val="000103D5"/>
    <w:rsid w:val="00010E2A"/>
    <w:rsid w:val="00027369"/>
    <w:rsid w:val="00030A0B"/>
    <w:rsid w:val="00031EC4"/>
    <w:rsid w:val="00032C4A"/>
    <w:rsid w:val="000333D8"/>
    <w:rsid w:val="00036789"/>
    <w:rsid w:val="0003682C"/>
    <w:rsid w:val="00037B24"/>
    <w:rsid w:val="00042CA1"/>
    <w:rsid w:val="00044271"/>
    <w:rsid w:val="00050D10"/>
    <w:rsid w:val="000573DD"/>
    <w:rsid w:val="00057759"/>
    <w:rsid w:val="00061D97"/>
    <w:rsid w:val="000634F0"/>
    <w:rsid w:val="00067563"/>
    <w:rsid w:val="00070FBA"/>
    <w:rsid w:val="00071061"/>
    <w:rsid w:val="000733FF"/>
    <w:rsid w:val="0007390C"/>
    <w:rsid w:val="00075D4A"/>
    <w:rsid w:val="0007739E"/>
    <w:rsid w:val="00085899"/>
    <w:rsid w:val="00087EB1"/>
    <w:rsid w:val="00090446"/>
    <w:rsid w:val="000919E6"/>
    <w:rsid w:val="00091F3E"/>
    <w:rsid w:val="00092DE5"/>
    <w:rsid w:val="000A502C"/>
    <w:rsid w:val="000A5266"/>
    <w:rsid w:val="000A7731"/>
    <w:rsid w:val="000B0CEF"/>
    <w:rsid w:val="000B3010"/>
    <w:rsid w:val="000B710F"/>
    <w:rsid w:val="000C143F"/>
    <w:rsid w:val="000C3DBE"/>
    <w:rsid w:val="000C4ECE"/>
    <w:rsid w:val="000C6E8A"/>
    <w:rsid w:val="000D0D7F"/>
    <w:rsid w:val="000D2FF8"/>
    <w:rsid w:val="000D3013"/>
    <w:rsid w:val="000D338E"/>
    <w:rsid w:val="000D3E8B"/>
    <w:rsid w:val="000D453F"/>
    <w:rsid w:val="000D48A1"/>
    <w:rsid w:val="000D4C37"/>
    <w:rsid w:val="000D5E83"/>
    <w:rsid w:val="000D63F2"/>
    <w:rsid w:val="000D77DF"/>
    <w:rsid w:val="000D7F9C"/>
    <w:rsid w:val="000E15F4"/>
    <w:rsid w:val="000E275D"/>
    <w:rsid w:val="000E79DA"/>
    <w:rsid w:val="000E7D50"/>
    <w:rsid w:val="000F090A"/>
    <w:rsid w:val="000F1754"/>
    <w:rsid w:val="000F23EC"/>
    <w:rsid w:val="00100AD8"/>
    <w:rsid w:val="00112D41"/>
    <w:rsid w:val="0011454F"/>
    <w:rsid w:val="001149EB"/>
    <w:rsid w:val="00115780"/>
    <w:rsid w:val="00117915"/>
    <w:rsid w:val="001209E4"/>
    <w:rsid w:val="0012120D"/>
    <w:rsid w:val="00126214"/>
    <w:rsid w:val="00130088"/>
    <w:rsid w:val="00131EBF"/>
    <w:rsid w:val="00132826"/>
    <w:rsid w:val="00132F18"/>
    <w:rsid w:val="001354D8"/>
    <w:rsid w:val="00137947"/>
    <w:rsid w:val="0014274E"/>
    <w:rsid w:val="00145E8B"/>
    <w:rsid w:val="001478FD"/>
    <w:rsid w:val="00151AA5"/>
    <w:rsid w:val="00153E4F"/>
    <w:rsid w:val="00161918"/>
    <w:rsid w:val="001634BE"/>
    <w:rsid w:val="0016678E"/>
    <w:rsid w:val="00171EA9"/>
    <w:rsid w:val="00173CD7"/>
    <w:rsid w:val="00174270"/>
    <w:rsid w:val="00175251"/>
    <w:rsid w:val="00176075"/>
    <w:rsid w:val="00177995"/>
    <w:rsid w:val="00180D04"/>
    <w:rsid w:val="001853DF"/>
    <w:rsid w:val="00185F52"/>
    <w:rsid w:val="001866E4"/>
    <w:rsid w:val="00187579"/>
    <w:rsid w:val="0019250D"/>
    <w:rsid w:val="001965AC"/>
    <w:rsid w:val="00196D07"/>
    <w:rsid w:val="00197E8A"/>
    <w:rsid w:val="001A7658"/>
    <w:rsid w:val="001B61D8"/>
    <w:rsid w:val="001B77F3"/>
    <w:rsid w:val="001C7F63"/>
    <w:rsid w:val="001D0C26"/>
    <w:rsid w:val="001D27B6"/>
    <w:rsid w:val="001D43BB"/>
    <w:rsid w:val="001D5252"/>
    <w:rsid w:val="001D5CB6"/>
    <w:rsid w:val="001D5CD5"/>
    <w:rsid w:val="001D7CEB"/>
    <w:rsid w:val="001E06D8"/>
    <w:rsid w:val="001E47D2"/>
    <w:rsid w:val="001E6951"/>
    <w:rsid w:val="001F16C2"/>
    <w:rsid w:val="001F23A6"/>
    <w:rsid w:val="001F2FF1"/>
    <w:rsid w:val="001F32CE"/>
    <w:rsid w:val="001F5502"/>
    <w:rsid w:val="001F65FD"/>
    <w:rsid w:val="001F6E16"/>
    <w:rsid w:val="001F7358"/>
    <w:rsid w:val="00201680"/>
    <w:rsid w:val="00202742"/>
    <w:rsid w:val="002031C0"/>
    <w:rsid w:val="00204620"/>
    <w:rsid w:val="002106CC"/>
    <w:rsid w:val="00211DC0"/>
    <w:rsid w:val="00227E4A"/>
    <w:rsid w:val="00230A34"/>
    <w:rsid w:val="00233257"/>
    <w:rsid w:val="00233F68"/>
    <w:rsid w:val="002369F3"/>
    <w:rsid w:val="00236C29"/>
    <w:rsid w:val="00237E22"/>
    <w:rsid w:val="00237F15"/>
    <w:rsid w:val="00241C5A"/>
    <w:rsid w:val="00241DE6"/>
    <w:rsid w:val="00242B43"/>
    <w:rsid w:val="0024693C"/>
    <w:rsid w:val="00246F8C"/>
    <w:rsid w:val="00247E49"/>
    <w:rsid w:val="00252B67"/>
    <w:rsid w:val="002532CF"/>
    <w:rsid w:val="00253806"/>
    <w:rsid w:val="00255698"/>
    <w:rsid w:val="002559FA"/>
    <w:rsid w:val="00256D07"/>
    <w:rsid w:val="00261E2A"/>
    <w:rsid w:val="00274E4C"/>
    <w:rsid w:val="0028193B"/>
    <w:rsid w:val="00287D56"/>
    <w:rsid w:val="00291CA5"/>
    <w:rsid w:val="00297D84"/>
    <w:rsid w:val="002A2979"/>
    <w:rsid w:val="002B1C30"/>
    <w:rsid w:val="002B71CF"/>
    <w:rsid w:val="002C1909"/>
    <w:rsid w:val="002C2184"/>
    <w:rsid w:val="002D184A"/>
    <w:rsid w:val="002D1AA0"/>
    <w:rsid w:val="002D3CD6"/>
    <w:rsid w:val="002D4D45"/>
    <w:rsid w:val="002D6843"/>
    <w:rsid w:val="002E0054"/>
    <w:rsid w:val="002E42C5"/>
    <w:rsid w:val="002E4388"/>
    <w:rsid w:val="002E607A"/>
    <w:rsid w:val="002F1336"/>
    <w:rsid w:val="002F2869"/>
    <w:rsid w:val="002F690E"/>
    <w:rsid w:val="00302A4B"/>
    <w:rsid w:val="0030306B"/>
    <w:rsid w:val="00303447"/>
    <w:rsid w:val="00306394"/>
    <w:rsid w:val="00306D3B"/>
    <w:rsid w:val="00307603"/>
    <w:rsid w:val="003103E4"/>
    <w:rsid w:val="0031071A"/>
    <w:rsid w:val="00315A5A"/>
    <w:rsid w:val="00316281"/>
    <w:rsid w:val="00321909"/>
    <w:rsid w:val="00321AF1"/>
    <w:rsid w:val="00322F73"/>
    <w:rsid w:val="00324FB0"/>
    <w:rsid w:val="0032572C"/>
    <w:rsid w:val="00327FB8"/>
    <w:rsid w:val="00330561"/>
    <w:rsid w:val="00331331"/>
    <w:rsid w:val="00332A27"/>
    <w:rsid w:val="003332E3"/>
    <w:rsid w:val="00333344"/>
    <w:rsid w:val="00345C63"/>
    <w:rsid w:val="00345CCF"/>
    <w:rsid w:val="0034768D"/>
    <w:rsid w:val="00351237"/>
    <w:rsid w:val="00351F5E"/>
    <w:rsid w:val="00353BAA"/>
    <w:rsid w:val="003555F6"/>
    <w:rsid w:val="0035568B"/>
    <w:rsid w:val="00364790"/>
    <w:rsid w:val="003666A3"/>
    <w:rsid w:val="00370613"/>
    <w:rsid w:val="00372854"/>
    <w:rsid w:val="00375AFF"/>
    <w:rsid w:val="003803FA"/>
    <w:rsid w:val="003834D1"/>
    <w:rsid w:val="00383F5D"/>
    <w:rsid w:val="003859A0"/>
    <w:rsid w:val="00386D5B"/>
    <w:rsid w:val="003925F3"/>
    <w:rsid w:val="00394D60"/>
    <w:rsid w:val="0039737D"/>
    <w:rsid w:val="003A5FF3"/>
    <w:rsid w:val="003A759D"/>
    <w:rsid w:val="003B5CF1"/>
    <w:rsid w:val="003B63F3"/>
    <w:rsid w:val="003C0263"/>
    <w:rsid w:val="003C29C3"/>
    <w:rsid w:val="003C2DED"/>
    <w:rsid w:val="003C34DB"/>
    <w:rsid w:val="003D04B3"/>
    <w:rsid w:val="003D1F81"/>
    <w:rsid w:val="003D6B7B"/>
    <w:rsid w:val="003D7301"/>
    <w:rsid w:val="003E53D2"/>
    <w:rsid w:val="003E5BF7"/>
    <w:rsid w:val="003F4DF5"/>
    <w:rsid w:val="003F59DD"/>
    <w:rsid w:val="004071DA"/>
    <w:rsid w:val="0041194D"/>
    <w:rsid w:val="004134E3"/>
    <w:rsid w:val="00413836"/>
    <w:rsid w:val="004142FB"/>
    <w:rsid w:val="0041432D"/>
    <w:rsid w:val="004161F8"/>
    <w:rsid w:val="00421B24"/>
    <w:rsid w:val="00422C1B"/>
    <w:rsid w:val="004239DF"/>
    <w:rsid w:val="004274BC"/>
    <w:rsid w:val="004313B5"/>
    <w:rsid w:val="00432E77"/>
    <w:rsid w:val="004340F8"/>
    <w:rsid w:val="00436BD8"/>
    <w:rsid w:val="00446375"/>
    <w:rsid w:val="00446D6E"/>
    <w:rsid w:val="004554DD"/>
    <w:rsid w:val="004600C8"/>
    <w:rsid w:val="00467A03"/>
    <w:rsid w:val="00470B10"/>
    <w:rsid w:val="00471F51"/>
    <w:rsid w:val="00472D49"/>
    <w:rsid w:val="00473FEF"/>
    <w:rsid w:val="004840D6"/>
    <w:rsid w:val="004943B1"/>
    <w:rsid w:val="004952DD"/>
    <w:rsid w:val="00495704"/>
    <w:rsid w:val="00496B43"/>
    <w:rsid w:val="00497671"/>
    <w:rsid w:val="004A5C28"/>
    <w:rsid w:val="004A7460"/>
    <w:rsid w:val="004B0250"/>
    <w:rsid w:val="004B042E"/>
    <w:rsid w:val="004B7060"/>
    <w:rsid w:val="004B7749"/>
    <w:rsid w:val="004B7AAF"/>
    <w:rsid w:val="004C0F89"/>
    <w:rsid w:val="004C7693"/>
    <w:rsid w:val="004D5FE1"/>
    <w:rsid w:val="004E1B28"/>
    <w:rsid w:val="004E4450"/>
    <w:rsid w:val="004F14F0"/>
    <w:rsid w:val="004F6DF2"/>
    <w:rsid w:val="004F7D86"/>
    <w:rsid w:val="00500773"/>
    <w:rsid w:val="0050257B"/>
    <w:rsid w:val="00507C72"/>
    <w:rsid w:val="00530325"/>
    <w:rsid w:val="005324CA"/>
    <w:rsid w:val="00535B8D"/>
    <w:rsid w:val="00543499"/>
    <w:rsid w:val="00545B75"/>
    <w:rsid w:val="005467CB"/>
    <w:rsid w:val="00547CC6"/>
    <w:rsid w:val="00550E51"/>
    <w:rsid w:val="0055103A"/>
    <w:rsid w:val="0055267D"/>
    <w:rsid w:val="0055333F"/>
    <w:rsid w:val="00553C7A"/>
    <w:rsid w:val="00556BC7"/>
    <w:rsid w:val="0056057D"/>
    <w:rsid w:val="00561B00"/>
    <w:rsid w:val="005622AF"/>
    <w:rsid w:val="00571417"/>
    <w:rsid w:val="00571898"/>
    <w:rsid w:val="00572446"/>
    <w:rsid w:val="005741E0"/>
    <w:rsid w:val="00577CC9"/>
    <w:rsid w:val="00582FAD"/>
    <w:rsid w:val="005832A4"/>
    <w:rsid w:val="00583918"/>
    <w:rsid w:val="00584117"/>
    <w:rsid w:val="00587665"/>
    <w:rsid w:val="005A0CEB"/>
    <w:rsid w:val="005A49A9"/>
    <w:rsid w:val="005A5F6D"/>
    <w:rsid w:val="005B2E17"/>
    <w:rsid w:val="005C081B"/>
    <w:rsid w:val="005C0DBA"/>
    <w:rsid w:val="005C4794"/>
    <w:rsid w:val="005C5AC9"/>
    <w:rsid w:val="005C6B07"/>
    <w:rsid w:val="005C7A41"/>
    <w:rsid w:val="005D11FE"/>
    <w:rsid w:val="005D628C"/>
    <w:rsid w:val="005D62FF"/>
    <w:rsid w:val="005E2C69"/>
    <w:rsid w:val="005E3A5C"/>
    <w:rsid w:val="005E5BF4"/>
    <w:rsid w:val="005E6DE8"/>
    <w:rsid w:val="005F0587"/>
    <w:rsid w:val="005F1161"/>
    <w:rsid w:val="005F17BD"/>
    <w:rsid w:val="00600156"/>
    <w:rsid w:val="00601966"/>
    <w:rsid w:val="006152C7"/>
    <w:rsid w:val="00615A07"/>
    <w:rsid w:val="006173D8"/>
    <w:rsid w:val="00621F10"/>
    <w:rsid w:val="006269D8"/>
    <w:rsid w:val="0063278E"/>
    <w:rsid w:val="006344DD"/>
    <w:rsid w:val="00642E3C"/>
    <w:rsid w:val="006453BC"/>
    <w:rsid w:val="00645526"/>
    <w:rsid w:val="00645882"/>
    <w:rsid w:val="006503A9"/>
    <w:rsid w:val="00651304"/>
    <w:rsid w:val="00651A46"/>
    <w:rsid w:val="00652751"/>
    <w:rsid w:val="00657F26"/>
    <w:rsid w:val="0066406F"/>
    <w:rsid w:val="00664BA2"/>
    <w:rsid w:val="00664EE1"/>
    <w:rsid w:val="00671876"/>
    <w:rsid w:val="00672068"/>
    <w:rsid w:val="00677C32"/>
    <w:rsid w:val="006935F4"/>
    <w:rsid w:val="00694A8A"/>
    <w:rsid w:val="006B045D"/>
    <w:rsid w:val="006B05E4"/>
    <w:rsid w:val="006B73AC"/>
    <w:rsid w:val="006C5D63"/>
    <w:rsid w:val="006C6F37"/>
    <w:rsid w:val="006D6BA6"/>
    <w:rsid w:val="006E1410"/>
    <w:rsid w:val="006E1535"/>
    <w:rsid w:val="006E2266"/>
    <w:rsid w:val="006E3257"/>
    <w:rsid w:val="006F1272"/>
    <w:rsid w:val="006F36C5"/>
    <w:rsid w:val="006F754B"/>
    <w:rsid w:val="00703BD9"/>
    <w:rsid w:val="00703CC2"/>
    <w:rsid w:val="00707A94"/>
    <w:rsid w:val="00714EAC"/>
    <w:rsid w:val="00716DD6"/>
    <w:rsid w:val="00716DFF"/>
    <w:rsid w:val="007229E8"/>
    <w:rsid w:val="007233A9"/>
    <w:rsid w:val="00730F16"/>
    <w:rsid w:val="00731F5C"/>
    <w:rsid w:val="00732D0E"/>
    <w:rsid w:val="00733847"/>
    <w:rsid w:val="00733F97"/>
    <w:rsid w:val="00734C5F"/>
    <w:rsid w:val="0073703E"/>
    <w:rsid w:val="0074147C"/>
    <w:rsid w:val="00741737"/>
    <w:rsid w:val="007420D8"/>
    <w:rsid w:val="007448F3"/>
    <w:rsid w:val="00744BBB"/>
    <w:rsid w:val="007469D7"/>
    <w:rsid w:val="007475C1"/>
    <w:rsid w:val="00747E9E"/>
    <w:rsid w:val="007545C7"/>
    <w:rsid w:val="0075477F"/>
    <w:rsid w:val="00767067"/>
    <w:rsid w:val="0076717B"/>
    <w:rsid w:val="007764BB"/>
    <w:rsid w:val="007768A1"/>
    <w:rsid w:val="00776EDE"/>
    <w:rsid w:val="00780906"/>
    <w:rsid w:val="00786401"/>
    <w:rsid w:val="00787F13"/>
    <w:rsid w:val="00793930"/>
    <w:rsid w:val="007947F1"/>
    <w:rsid w:val="00797224"/>
    <w:rsid w:val="007978FA"/>
    <w:rsid w:val="007A09BF"/>
    <w:rsid w:val="007A1274"/>
    <w:rsid w:val="007A3274"/>
    <w:rsid w:val="007A5C98"/>
    <w:rsid w:val="007B29FB"/>
    <w:rsid w:val="007B38E3"/>
    <w:rsid w:val="007C095B"/>
    <w:rsid w:val="007C10CD"/>
    <w:rsid w:val="007C227D"/>
    <w:rsid w:val="007C3A44"/>
    <w:rsid w:val="007C5D3E"/>
    <w:rsid w:val="007D020A"/>
    <w:rsid w:val="007D1FB2"/>
    <w:rsid w:val="007D3384"/>
    <w:rsid w:val="007D5A5F"/>
    <w:rsid w:val="007D723D"/>
    <w:rsid w:val="007E012E"/>
    <w:rsid w:val="007E04FC"/>
    <w:rsid w:val="007E157C"/>
    <w:rsid w:val="007E166F"/>
    <w:rsid w:val="007E1DEB"/>
    <w:rsid w:val="007E3FDA"/>
    <w:rsid w:val="007E4C4E"/>
    <w:rsid w:val="007E5FE5"/>
    <w:rsid w:val="007E6403"/>
    <w:rsid w:val="007F296F"/>
    <w:rsid w:val="007F2C17"/>
    <w:rsid w:val="007F3AAB"/>
    <w:rsid w:val="007F6BF4"/>
    <w:rsid w:val="007F7B09"/>
    <w:rsid w:val="00802755"/>
    <w:rsid w:val="0080277A"/>
    <w:rsid w:val="00803B7F"/>
    <w:rsid w:val="00804671"/>
    <w:rsid w:val="00807FD3"/>
    <w:rsid w:val="00810E55"/>
    <w:rsid w:val="008134D9"/>
    <w:rsid w:val="00814F9C"/>
    <w:rsid w:val="008154A0"/>
    <w:rsid w:val="00820E2D"/>
    <w:rsid w:val="00822BBA"/>
    <w:rsid w:val="00823FF6"/>
    <w:rsid w:val="008262D7"/>
    <w:rsid w:val="00826E21"/>
    <w:rsid w:val="00831377"/>
    <w:rsid w:val="00832711"/>
    <w:rsid w:val="00832C1F"/>
    <w:rsid w:val="008358F7"/>
    <w:rsid w:val="00840089"/>
    <w:rsid w:val="0084009B"/>
    <w:rsid w:val="0084179A"/>
    <w:rsid w:val="0084560F"/>
    <w:rsid w:val="00851676"/>
    <w:rsid w:val="00855967"/>
    <w:rsid w:val="008568F9"/>
    <w:rsid w:val="00856E84"/>
    <w:rsid w:val="00867E9C"/>
    <w:rsid w:val="00883200"/>
    <w:rsid w:val="00885DD4"/>
    <w:rsid w:val="00886EE7"/>
    <w:rsid w:val="00887931"/>
    <w:rsid w:val="00891DB3"/>
    <w:rsid w:val="00893AA8"/>
    <w:rsid w:val="00893E39"/>
    <w:rsid w:val="008A1766"/>
    <w:rsid w:val="008A337C"/>
    <w:rsid w:val="008A475D"/>
    <w:rsid w:val="008B0889"/>
    <w:rsid w:val="008B2F76"/>
    <w:rsid w:val="008B5C9E"/>
    <w:rsid w:val="008B6A09"/>
    <w:rsid w:val="008C6974"/>
    <w:rsid w:val="008C7DDA"/>
    <w:rsid w:val="008D2CC7"/>
    <w:rsid w:val="008D612E"/>
    <w:rsid w:val="008E1ABD"/>
    <w:rsid w:val="008E534A"/>
    <w:rsid w:val="008E5CC5"/>
    <w:rsid w:val="008E7E97"/>
    <w:rsid w:val="008F0004"/>
    <w:rsid w:val="008F06B0"/>
    <w:rsid w:val="008F0F7B"/>
    <w:rsid w:val="008F36D0"/>
    <w:rsid w:val="008F7700"/>
    <w:rsid w:val="009041BD"/>
    <w:rsid w:val="00904716"/>
    <w:rsid w:val="00904FF6"/>
    <w:rsid w:val="00905401"/>
    <w:rsid w:val="00905B70"/>
    <w:rsid w:val="009160CA"/>
    <w:rsid w:val="00920D57"/>
    <w:rsid w:val="00921BCF"/>
    <w:rsid w:val="009235E5"/>
    <w:rsid w:val="00924283"/>
    <w:rsid w:val="00924774"/>
    <w:rsid w:val="009254E2"/>
    <w:rsid w:val="00927A6D"/>
    <w:rsid w:val="00930AE6"/>
    <w:rsid w:val="00932521"/>
    <w:rsid w:val="009342E2"/>
    <w:rsid w:val="00934FE0"/>
    <w:rsid w:val="00937D7C"/>
    <w:rsid w:val="00940043"/>
    <w:rsid w:val="00943B0C"/>
    <w:rsid w:val="00943B5E"/>
    <w:rsid w:val="00945587"/>
    <w:rsid w:val="0095082E"/>
    <w:rsid w:val="009545C8"/>
    <w:rsid w:val="00961776"/>
    <w:rsid w:val="00961CAF"/>
    <w:rsid w:val="00962D5C"/>
    <w:rsid w:val="00964107"/>
    <w:rsid w:val="00967D72"/>
    <w:rsid w:val="0097166D"/>
    <w:rsid w:val="00976CE9"/>
    <w:rsid w:val="0098142A"/>
    <w:rsid w:val="00982D5B"/>
    <w:rsid w:val="009843EB"/>
    <w:rsid w:val="00993A67"/>
    <w:rsid w:val="00994DB1"/>
    <w:rsid w:val="00994E57"/>
    <w:rsid w:val="009A08BC"/>
    <w:rsid w:val="009A745F"/>
    <w:rsid w:val="009B6DB4"/>
    <w:rsid w:val="009B7AD9"/>
    <w:rsid w:val="009C0304"/>
    <w:rsid w:val="009C082C"/>
    <w:rsid w:val="009C2EBA"/>
    <w:rsid w:val="009C316A"/>
    <w:rsid w:val="009C449B"/>
    <w:rsid w:val="009C53EA"/>
    <w:rsid w:val="009C733B"/>
    <w:rsid w:val="009D092C"/>
    <w:rsid w:val="009D2B6B"/>
    <w:rsid w:val="009D33AD"/>
    <w:rsid w:val="009D7AC8"/>
    <w:rsid w:val="009D7C08"/>
    <w:rsid w:val="009E03A0"/>
    <w:rsid w:val="009E2D83"/>
    <w:rsid w:val="009E4530"/>
    <w:rsid w:val="009E5F70"/>
    <w:rsid w:val="009F2513"/>
    <w:rsid w:val="009F3CB4"/>
    <w:rsid w:val="009F59C3"/>
    <w:rsid w:val="009F63DE"/>
    <w:rsid w:val="009F695D"/>
    <w:rsid w:val="009F72B0"/>
    <w:rsid w:val="009F79A6"/>
    <w:rsid w:val="00A002CC"/>
    <w:rsid w:val="00A012D4"/>
    <w:rsid w:val="00A02A6B"/>
    <w:rsid w:val="00A04E6B"/>
    <w:rsid w:val="00A0702C"/>
    <w:rsid w:val="00A11DFA"/>
    <w:rsid w:val="00A139A1"/>
    <w:rsid w:val="00A15ABA"/>
    <w:rsid w:val="00A20D39"/>
    <w:rsid w:val="00A239D6"/>
    <w:rsid w:val="00A254CA"/>
    <w:rsid w:val="00A26172"/>
    <w:rsid w:val="00A2757E"/>
    <w:rsid w:val="00A339DA"/>
    <w:rsid w:val="00A341CB"/>
    <w:rsid w:val="00A37098"/>
    <w:rsid w:val="00A4018A"/>
    <w:rsid w:val="00A4162E"/>
    <w:rsid w:val="00A42F78"/>
    <w:rsid w:val="00A51B44"/>
    <w:rsid w:val="00A55EA4"/>
    <w:rsid w:val="00A562A2"/>
    <w:rsid w:val="00A5676D"/>
    <w:rsid w:val="00A611BB"/>
    <w:rsid w:val="00A63817"/>
    <w:rsid w:val="00A64068"/>
    <w:rsid w:val="00A651E9"/>
    <w:rsid w:val="00A658AD"/>
    <w:rsid w:val="00A659A4"/>
    <w:rsid w:val="00A66891"/>
    <w:rsid w:val="00A67337"/>
    <w:rsid w:val="00A72B3E"/>
    <w:rsid w:val="00A7762E"/>
    <w:rsid w:val="00A85CA1"/>
    <w:rsid w:val="00A86479"/>
    <w:rsid w:val="00A918B9"/>
    <w:rsid w:val="00A93CAC"/>
    <w:rsid w:val="00A940EE"/>
    <w:rsid w:val="00A95398"/>
    <w:rsid w:val="00A96AD6"/>
    <w:rsid w:val="00A96EAF"/>
    <w:rsid w:val="00AA0127"/>
    <w:rsid w:val="00AA4706"/>
    <w:rsid w:val="00AA5928"/>
    <w:rsid w:val="00AA65E9"/>
    <w:rsid w:val="00AA70AC"/>
    <w:rsid w:val="00AA7556"/>
    <w:rsid w:val="00AA7B4D"/>
    <w:rsid w:val="00AB1F58"/>
    <w:rsid w:val="00AB48EF"/>
    <w:rsid w:val="00AC16A4"/>
    <w:rsid w:val="00AC29DE"/>
    <w:rsid w:val="00AD13F7"/>
    <w:rsid w:val="00AD404E"/>
    <w:rsid w:val="00AD6CFB"/>
    <w:rsid w:val="00AD6F2B"/>
    <w:rsid w:val="00AE1066"/>
    <w:rsid w:val="00AE11E9"/>
    <w:rsid w:val="00AE28F5"/>
    <w:rsid w:val="00AE3F70"/>
    <w:rsid w:val="00AF1905"/>
    <w:rsid w:val="00AF59AE"/>
    <w:rsid w:val="00AF5B15"/>
    <w:rsid w:val="00B033C9"/>
    <w:rsid w:val="00B039CF"/>
    <w:rsid w:val="00B10F3B"/>
    <w:rsid w:val="00B113D1"/>
    <w:rsid w:val="00B16780"/>
    <w:rsid w:val="00B24972"/>
    <w:rsid w:val="00B25315"/>
    <w:rsid w:val="00B27855"/>
    <w:rsid w:val="00B32B05"/>
    <w:rsid w:val="00B363C8"/>
    <w:rsid w:val="00B4085C"/>
    <w:rsid w:val="00B413D5"/>
    <w:rsid w:val="00B427B8"/>
    <w:rsid w:val="00B475FA"/>
    <w:rsid w:val="00B5135D"/>
    <w:rsid w:val="00B57D94"/>
    <w:rsid w:val="00B63F04"/>
    <w:rsid w:val="00B65A48"/>
    <w:rsid w:val="00B72456"/>
    <w:rsid w:val="00B735D0"/>
    <w:rsid w:val="00B73F2C"/>
    <w:rsid w:val="00B82BC9"/>
    <w:rsid w:val="00B82F8E"/>
    <w:rsid w:val="00B91C17"/>
    <w:rsid w:val="00B91C34"/>
    <w:rsid w:val="00B92C86"/>
    <w:rsid w:val="00B9522A"/>
    <w:rsid w:val="00B970E8"/>
    <w:rsid w:val="00BA0D41"/>
    <w:rsid w:val="00BA0F47"/>
    <w:rsid w:val="00BB2CA8"/>
    <w:rsid w:val="00BB3D4A"/>
    <w:rsid w:val="00BB4B09"/>
    <w:rsid w:val="00BB509C"/>
    <w:rsid w:val="00BB69C3"/>
    <w:rsid w:val="00BB7131"/>
    <w:rsid w:val="00BB748C"/>
    <w:rsid w:val="00BC37DE"/>
    <w:rsid w:val="00BC3BFD"/>
    <w:rsid w:val="00BD0E97"/>
    <w:rsid w:val="00BD38C6"/>
    <w:rsid w:val="00BD737D"/>
    <w:rsid w:val="00BD77B3"/>
    <w:rsid w:val="00BF20D6"/>
    <w:rsid w:val="00BF28CF"/>
    <w:rsid w:val="00BF45F8"/>
    <w:rsid w:val="00BF4907"/>
    <w:rsid w:val="00C001C0"/>
    <w:rsid w:val="00C003BD"/>
    <w:rsid w:val="00C02477"/>
    <w:rsid w:val="00C055F4"/>
    <w:rsid w:val="00C05828"/>
    <w:rsid w:val="00C10A00"/>
    <w:rsid w:val="00C12AF1"/>
    <w:rsid w:val="00C13CBA"/>
    <w:rsid w:val="00C144DB"/>
    <w:rsid w:val="00C161DA"/>
    <w:rsid w:val="00C21E08"/>
    <w:rsid w:val="00C247E0"/>
    <w:rsid w:val="00C24A6E"/>
    <w:rsid w:val="00C265E4"/>
    <w:rsid w:val="00C27DE9"/>
    <w:rsid w:val="00C32D61"/>
    <w:rsid w:val="00C33CD0"/>
    <w:rsid w:val="00C34BE7"/>
    <w:rsid w:val="00C35021"/>
    <w:rsid w:val="00C4006A"/>
    <w:rsid w:val="00C409B8"/>
    <w:rsid w:val="00C4339E"/>
    <w:rsid w:val="00C454C2"/>
    <w:rsid w:val="00C45551"/>
    <w:rsid w:val="00C469AD"/>
    <w:rsid w:val="00C46CEC"/>
    <w:rsid w:val="00C4779E"/>
    <w:rsid w:val="00C55543"/>
    <w:rsid w:val="00C56080"/>
    <w:rsid w:val="00C61339"/>
    <w:rsid w:val="00C62D6D"/>
    <w:rsid w:val="00C6323D"/>
    <w:rsid w:val="00C64903"/>
    <w:rsid w:val="00C74592"/>
    <w:rsid w:val="00C75941"/>
    <w:rsid w:val="00C76129"/>
    <w:rsid w:val="00C82EDF"/>
    <w:rsid w:val="00C906BC"/>
    <w:rsid w:val="00C90964"/>
    <w:rsid w:val="00C94B6E"/>
    <w:rsid w:val="00CA2D7B"/>
    <w:rsid w:val="00CA55F0"/>
    <w:rsid w:val="00CB0AE5"/>
    <w:rsid w:val="00CB1AF6"/>
    <w:rsid w:val="00CB1BD5"/>
    <w:rsid w:val="00CB1C25"/>
    <w:rsid w:val="00CB25C8"/>
    <w:rsid w:val="00CB4D13"/>
    <w:rsid w:val="00CB581E"/>
    <w:rsid w:val="00CB627D"/>
    <w:rsid w:val="00CC49AD"/>
    <w:rsid w:val="00CD2AD8"/>
    <w:rsid w:val="00CD4C01"/>
    <w:rsid w:val="00CE448B"/>
    <w:rsid w:val="00CE7745"/>
    <w:rsid w:val="00CE7D06"/>
    <w:rsid w:val="00CF4C23"/>
    <w:rsid w:val="00CF60A9"/>
    <w:rsid w:val="00D01A2B"/>
    <w:rsid w:val="00D02E86"/>
    <w:rsid w:val="00D06C04"/>
    <w:rsid w:val="00D11BFC"/>
    <w:rsid w:val="00D128AE"/>
    <w:rsid w:val="00D13573"/>
    <w:rsid w:val="00D1679C"/>
    <w:rsid w:val="00D22408"/>
    <w:rsid w:val="00D22CD1"/>
    <w:rsid w:val="00D30BAE"/>
    <w:rsid w:val="00D32543"/>
    <w:rsid w:val="00D33799"/>
    <w:rsid w:val="00D34328"/>
    <w:rsid w:val="00D409F4"/>
    <w:rsid w:val="00D43F67"/>
    <w:rsid w:val="00D460FB"/>
    <w:rsid w:val="00D46593"/>
    <w:rsid w:val="00D4694A"/>
    <w:rsid w:val="00D47978"/>
    <w:rsid w:val="00D55621"/>
    <w:rsid w:val="00D5652A"/>
    <w:rsid w:val="00D56611"/>
    <w:rsid w:val="00D57F20"/>
    <w:rsid w:val="00D63B38"/>
    <w:rsid w:val="00D63B6E"/>
    <w:rsid w:val="00D65D07"/>
    <w:rsid w:val="00D66B60"/>
    <w:rsid w:val="00D67948"/>
    <w:rsid w:val="00D770AA"/>
    <w:rsid w:val="00D77344"/>
    <w:rsid w:val="00D8003B"/>
    <w:rsid w:val="00D80D8F"/>
    <w:rsid w:val="00D83E48"/>
    <w:rsid w:val="00D84187"/>
    <w:rsid w:val="00D92173"/>
    <w:rsid w:val="00D92F3B"/>
    <w:rsid w:val="00D94B15"/>
    <w:rsid w:val="00DA1FD0"/>
    <w:rsid w:val="00DB6479"/>
    <w:rsid w:val="00DC02A2"/>
    <w:rsid w:val="00DC2101"/>
    <w:rsid w:val="00DC358E"/>
    <w:rsid w:val="00DC36BC"/>
    <w:rsid w:val="00DC6E8E"/>
    <w:rsid w:val="00DC79BC"/>
    <w:rsid w:val="00DD197D"/>
    <w:rsid w:val="00DD246E"/>
    <w:rsid w:val="00DD45A9"/>
    <w:rsid w:val="00DE2560"/>
    <w:rsid w:val="00DE25D1"/>
    <w:rsid w:val="00DE26C1"/>
    <w:rsid w:val="00DE377D"/>
    <w:rsid w:val="00DE59C0"/>
    <w:rsid w:val="00DF3B5D"/>
    <w:rsid w:val="00DF3E47"/>
    <w:rsid w:val="00DF6143"/>
    <w:rsid w:val="00DF7C90"/>
    <w:rsid w:val="00E00F64"/>
    <w:rsid w:val="00E05368"/>
    <w:rsid w:val="00E07791"/>
    <w:rsid w:val="00E1131C"/>
    <w:rsid w:val="00E1712F"/>
    <w:rsid w:val="00E23DA9"/>
    <w:rsid w:val="00E24218"/>
    <w:rsid w:val="00E24A87"/>
    <w:rsid w:val="00E25A84"/>
    <w:rsid w:val="00E25D4E"/>
    <w:rsid w:val="00E35765"/>
    <w:rsid w:val="00E403C7"/>
    <w:rsid w:val="00E460B4"/>
    <w:rsid w:val="00E50209"/>
    <w:rsid w:val="00E50C79"/>
    <w:rsid w:val="00E513C2"/>
    <w:rsid w:val="00E52083"/>
    <w:rsid w:val="00E60A37"/>
    <w:rsid w:val="00E61C80"/>
    <w:rsid w:val="00E61FAC"/>
    <w:rsid w:val="00E71F6B"/>
    <w:rsid w:val="00E72251"/>
    <w:rsid w:val="00E766C3"/>
    <w:rsid w:val="00E851BE"/>
    <w:rsid w:val="00E964E6"/>
    <w:rsid w:val="00EA225B"/>
    <w:rsid w:val="00EB0007"/>
    <w:rsid w:val="00EB0293"/>
    <w:rsid w:val="00EB0C2C"/>
    <w:rsid w:val="00EB192B"/>
    <w:rsid w:val="00EB38E8"/>
    <w:rsid w:val="00EB5332"/>
    <w:rsid w:val="00EB7344"/>
    <w:rsid w:val="00EC110D"/>
    <w:rsid w:val="00EC6336"/>
    <w:rsid w:val="00ED0E8D"/>
    <w:rsid w:val="00ED530C"/>
    <w:rsid w:val="00ED5B4F"/>
    <w:rsid w:val="00ED6BBF"/>
    <w:rsid w:val="00ED7E13"/>
    <w:rsid w:val="00EE3C53"/>
    <w:rsid w:val="00EE51DA"/>
    <w:rsid w:val="00EE6100"/>
    <w:rsid w:val="00EF3754"/>
    <w:rsid w:val="00EF37CA"/>
    <w:rsid w:val="00EF7ED2"/>
    <w:rsid w:val="00F02CBF"/>
    <w:rsid w:val="00F02D49"/>
    <w:rsid w:val="00F03DA7"/>
    <w:rsid w:val="00F046DA"/>
    <w:rsid w:val="00F048D5"/>
    <w:rsid w:val="00F070BF"/>
    <w:rsid w:val="00F12B21"/>
    <w:rsid w:val="00F14760"/>
    <w:rsid w:val="00F14F87"/>
    <w:rsid w:val="00F213AE"/>
    <w:rsid w:val="00F223D6"/>
    <w:rsid w:val="00F24930"/>
    <w:rsid w:val="00F2576A"/>
    <w:rsid w:val="00F2751F"/>
    <w:rsid w:val="00F2788C"/>
    <w:rsid w:val="00F32E60"/>
    <w:rsid w:val="00F34728"/>
    <w:rsid w:val="00F42A46"/>
    <w:rsid w:val="00F44654"/>
    <w:rsid w:val="00F51419"/>
    <w:rsid w:val="00F52A92"/>
    <w:rsid w:val="00F5378A"/>
    <w:rsid w:val="00F5398D"/>
    <w:rsid w:val="00F5578E"/>
    <w:rsid w:val="00F5589A"/>
    <w:rsid w:val="00F63A2F"/>
    <w:rsid w:val="00F64DC6"/>
    <w:rsid w:val="00F66326"/>
    <w:rsid w:val="00F71514"/>
    <w:rsid w:val="00F73BAA"/>
    <w:rsid w:val="00F8007B"/>
    <w:rsid w:val="00F876EB"/>
    <w:rsid w:val="00F91395"/>
    <w:rsid w:val="00F97B2D"/>
    <w:rsid w:val="00FA3841"/>
    <w:rsid w:val="00FA582C"/>
    <w:rsid w:val="00FB22BF"/>
    <w:rsid w:val="00FB24C2"/>
    <w:rsid w:val="00FB4F7D"/>
    <w:rsid w:val="00FC0243"/>
    <w:rsid w:val="00FC071C"/>
    <w:rsid w:val="00FC24E5"/>
    <w:rsid w:val="00FC363B"/>
    <w:rsid w:val="00FC4783"/>
    <w:rsid w:val="00FD12D8"/>
    <w:rsid w:val="00FD1C1D"/>
    <w:rsid w:val="00FD3AAD"/>
    <w:rsid w:val="00FD47B4"/>
    <w:rsid w:val="00FD51CD"/>
    <w:rsid w:val="00FD534F"/>
    <w:rsid w:val="00FE3583"/>
    <w:rsid w:val="00FE4B81"/>
    <w:rsid w:val="00FF127A"/>
    <w:rsid w:val="00FF29E7"/>
    <w:rsid w:val="00FF32B0"/>
    <w:rsid w:val="00FF369E"/>
    <w:rsid w:val="00FF6FE2"/>
    <w:rsid w:val="01002678"/>
    <w:rsid w:val="01BB1B90"/>
    <w:rsid w:val="0295277A"/>
    <w:rsid w:val="0357423A"/>
    <w:rsid w:val="04040843"/>
    <w:rsid w:val="04F532E4"/>
    <w:rsid w:val="050B668C"/>
    <w:rsid w:val="05160A26"/>
    <w:rsid w:val="05A708E3"/>
    <w:rsid w:val="05EF0E4C"/>
    <w:rsid w:val="062C627F"/>
    <w:rsid w:val="06F24750"/>
    <w:rsid w:val="07852A45"/>
    <w:rsid w:val="08166439"/>
    <w:rsid w:val="088771F6"/>
    <w:rsid w:val="09842961"/>
    <w:rsid w:val="0A11651F"/>
    <w:rsid w:val="0B732F2C"/>
    <w:rsid w:val="0B7B07E8"/>
    <w:rsid w:val="0B9E3157"/>
    <w:rsid w:val="0BF002FA"/>
    <w:rsid w:val="0C236700"/>
    <w:rsid w:val="0D477973"/>
    <w:rsid w:val="0D561518"/>
    <w:rsid w:val="0DA770F4"/>
    <w:rsid w:val="0DDE6C7A"/>
    <w:rsid w:val="0EBD28D6"/>
    <w:rsid w:val="0F19465C"/>
    <w:rsid w:val="0FEE7355"/>
    <w:rsid w:val="0FFF2CDE"/>
    <w:rsid w:val="11336B8B"/>
    <w:rsid w:val="118443AE"/>
    <w:rsid w:val="11B5058F"/>
    <w:rsid w:val="11D92230"/>
    <w:rsid w:val="12AB5A42"/>
    <w:rsid w:val="12D87D4F"/>
    <w:rsid w:val="147A636F"/>
    <w:rsid w:val="15782C7E"/>
    <w:rsid w:val="15902DB4"/>
    <w:rsid w:val="15915971"/>
    <w:rsid w:val="15FC6D54"/>
    <w:rsid w:val="160839E3"/>
    <w:rsid w:val="160F2EF4"/>
    <w:rsid w:val="168A2E4A"/>
    <w:rsid w:val="170B42AE"/>
    <w:rsid w:val="1812204D"/>
    <w:rsid w:val="182867BE"/>
    <w:rsid w:val="18523889"/>
    <w:rsid w:val="18941F78"/>
    <w:rsid w:val="18E67F66"/>
    <w:rsid w:val="19C203AA"/>
    <w:rsid w:val="19EB46AD"/>
    <w:rsid w:val="1A07314F"/>
    <w:rsid w:val="1A143C27"/>
    <w:rsid w:val="1A4A64AD"/>
    <w:rsid w:val="1ACC5F94"/>
    <w:rsid w:val="1BBF3C13"/>
    <w:rsid w:val="1C6C177F"/>
    <w:rsid w:val="1CEF0D86"/>
    <w:rsid w:val="1E605764"/>
    <w:rsid w:val="1ED35E52"/>
    <w:rsid w:val="1F326319"/>
    <w:rsid w:val="1F337736"/>
    <w:rsid w:val="1F3519C7"/>
    <w:rsid w:val="1F644744"/>
    <w:rsid w:val="1FD128F4"/>
    <w:rsid w:val="20592BE1"/>
    <w:rsid w:val="20B50445"/>
    <w:rsid w:val="20EB0691"/>
    <w:rsid w:val="21440B7A"/>
    <w:rsid w:val="22937D89"/>
    <w:rsid w:val="22B56758"/>
    <w:rsid w:val="22E03E0A"/>
    <w:rsid w:val="23403395"/>
    <w:rsid w:val="234A7F6B"/>
    <w:rsid w:val="23F031C9"/>
    <w:rsid w:val="243E32C2"/>
    <w:rsid w:val="25174E41"/>
    <w:rsid w:val="256972AA"/>
    <w:rsid w:val="25AB1A79"/>
    <w:rsid w:val="27950FB5"/>
    <w:rsid w:val="28927479"/>
    <w:rsid w:val="28D7016F"/>
    <w:rsid w:val="28FD4CC9"/>
    <w:rsid w:val="29DB0625"/>
    <w:rsid w:val="2A355E7E"/>
    <w:rsid w:val="2A5B32EA"/>
    <w:rsid w:val="2A800CEA"/>
    <w:rsid w:val="2B8A3541"/>
    <w:rsid w:val="2C4320AD"/>
    <w:rsid w:val="2D9E48E8"/>
    <w:rsid w:val="2D9F29B4"/>
    <w:rsid w:val="2EC37384"/>
    <w:rsid w:val="2FA539B8"/>
    <w:rsid w:val="2FA837EF"/>
    <w:rsid w:val="2FBB0A9A"/>
    <w:rsid w:val="2FE933B3"/>
    <w:rsid w:val="2FF27970"/>
    <w:rsid w:val="2FF418E7"/>
    <w:rsid w:val="30483416"/>
    <w:rsid w:val="305C0286"/>
    <w:rsid w:val="30E4782F"/>
    <w:rsid w:val="31876D63"/>
    <w:rsid w:val="321A0DA3"/>
    <w:rsid w:val="323E39C7"/>
    <w:rsid w:val="327F1123"/>
    <w:rsid w:val="342B281C"/>
    <w:rsid w:val="345B5664"/>
    <w:rsid w:val="345F0910"/>
    <w:rsid w:val="35CB4E04"/>
    <w:rsid w:val="35DD2C66"/>
    <w:rsid w:val="361E2C1F"/>
    <w:rsid w:val="36F21B1E"/>
    <w:rsid w:val="37537F32"/>
    <w:rsid w:val="379B05EC"/>
    <w:rsid w:val="38463968"/>
    <w:rsid w:val="38641B0F"/>
    <w:rsid w:val="39204CA1"/>
    <w:rsid w:val="394A28F1"/>
    <w:rsid w:val="3AD46C94"/>
    <w:rsid w:val="3AF56409"/>
    <w:rsid w:val="3B0C3FED"/>
    <w:rsid w:val="3B2C2F74"/>
    <w:rsid w:val="3BC82243"/>
    <w:rsid w:val="3CBA425A"/>
    <w:rsid w:val="3CFD4BC8"/>
    <w:rsid w:val="3D4B29C5"/>
    <w:rsid w:val="3D94540A"/>
    <w:rsid w:val="3E401509"/>
    <w:rsid w:val="3F040C13"/>
    <w:rsid w:val="3FB5178A"/>
    <w:rsid w:val="40633811"/>
    <w:rsid w:val="40E7461E"/>
    <w:rsid w:val="413775B0"/>
    <w:rsid w:val="42AB3941"/>
    <w:rsid w:val="42C30F47"/>
    <w:rsid w:val="42C67EC7"/>
    <w:rsid w:val="43520F9F"/>
    <w:rsid w:val="43637296"/>
    <w:rsid w:val="457819D7"/>
    <w:rsid w:val="45A0469A"/>
    <w:rsid w:val="45FA74F2"/>
    <w:rsid w:val="462861CF"/>
    <w:rsid w:val="46752F28"/>
    <w:rsid w:val="469C658E"/>
    <w:rsid w:val="47C86159"/>
    <w:rsid w:val="47CA7D9C"/>
    <w:rsid w:val="47FD447C"/>
    <w:rsid w:val="48215114"/>
    <w:rsid w:val="48276825"/>
    <w:rsid w:val="48403234"/>
    <w:rsid w:val="48450C39"/>
    <w:rsid w:val="4850341A"/>
    <w:rsid w:val="491D5404"/>
    <w:rsid w:val="4A41430B"/>
    <w:rsid w:val="4BBB0BE9"/>
    <w:rsid w:val="4BF4363A"/>
    <w:rsid w:val="4D842D3A"/>
    <w:rsid w:val="4DDD02DC"/>
    <w:rsid w:val="4E2B44E3"/>
    <w:rsid w:val="4E650DC9"/>
    <w:rsid w:val="4F6F4B51"/>
    <w:rsid w:val="50A32828"/>
    <w:rsid w:val="50CF73BC"/>
    <w:rsid w:val="51280932"/>
    <w:rsid w:val="514D6509"/>
    <w:rsid w:val="517462F5"/>
    <w:rsid w:val="51B87EF8"/>
    <w:rsid w:val="524F58D9"/>
    <w:rsid w:val="52B670A9"/>
    <w:rsid w:val="52BF01FB"/>
    <w:rsid w:val="52FD455E"/>
    <w:rsid w:val="53D6608D"/>
    <w:rsid w:val="54010530"/>
    <w:rsid w:val="555739DF"/>
    <w:rsid w:val="55B164AD"/>
    <w:rsid w:val="55C81BB7"/>
    <w:rsid w:val="55D81588"/>
    <w:rsid w:val="561C3A3F"/>
    <w:rsid w:val="562A39A6"/>
    <w:rsid w:val="565F6940"/>
    <w:rsid w:val="574C76A5"/>
    <w:rsid w:val="57A556A6"/>
    <w:rsid w:val="582157B7"/>
    <w:rsid w:val="59100865"/>
    <w:rsid w:val="5A095AB5"/>
    <w:rsid w:val="5AF60A5A"/>
    <w:rsid w:val="5B032756"/>
    <w:rsid w:val="5B6A0943"/>
    <w:rsid w:val="5BA60B0D"/>
    <w:rsid w:val="5BFE1967"/>
    <w:rsid w:val="5CA06B9B"/>
    <w:rsid w:val="5D491032"/>
    <w:rsid w:val="5D550866"/>
    <w:rsid w:val="5D926A59"/>
    <w:rsid w:val="5D9B0B63"/>
    <w:rsid w:val="5E0E085B"/>
    <w:rsid w:val="5E3A22D5"/>
    <w:rsid w:val="5F3018F4"/>
    <w:rsid w:val="5F971568"/>
    <w:rsid w:val="616E2C9D"/>
    <w:rsid w:val="63460538"/>
    <w:rsid w:val="634F4AF1"/>
    <w:rsid w:val="635C139E"/>
    <w:rsid w:val="64521136"/>
    <w:rsid w:val="651D3DBE"/>
    <w:rsid w:val="65B07941"/>
    <w:rsid w:val="65D529C9"/>
    <w:rsid w:val="661362E3"/>
    <w:rsid w:val="661865DF"/>
    <w:rsid w:val="66477C61"/>
    <w:rsid w:val="669464D7"/>
    <w:rsid w:val="66F07FD1"/>
    <w:rsid w:val="67426E49"/>
    <w:rsid w:val="6744203C"/>
    <w:rsid w:val="676F3F7F"/>
    <w:rsid w:val="6794411C"/>
    <w:rsid w:val="67E427A5"/>
    <w:rsid w:val="68CB2D94"/>
    <w:rsid w:val="699018D3"/>
    <w:rsid w:val="69CE27E1"/>
    <w:rsid w:val="69E50CDA"/>
    <w:rsid w:val="69F06925"/>
    <w:rsid w:val="6AD64725"/>
    <w:rsid w:val="6AE90467"/>
    <w:rsid w:val="6B1F203D"/>
    <w:rsid w:val="6B236656"/>
    <w:rsid w:val="6B570828"/>
    <w:rsid w:val="6B61182A"/>
    <w:rsid w:val="6C700663"/>
    <w:rsid w:val="6C705F6D"/>
    <w:rsid w:val="6D1862E0"/>
    <w:rsid w:val="6D283DD3"/>
    <w:rsid w:val="6D6558B3"/>
    <w:rsid w:val="6D762F0F"/>
    <w:rsid w:val="6DF8703C"/>
    <w:rsid w:val="6E1966BE"/>
    <w:rsid w:val="6E736163"/>
    <w:rsid w:val="710B6BAC"/>
    <w:rsid w:val="719F5C11"/>
    <w:rsid w:val="725772F9"/>
    <w:rsid w:val="7358145B"/>
    <w:rsid w:val="74415EE0"/>
    <w:rsid w:val="74932B83"/>
    <w:rsid w:val="74FD46D9"/>
    <w:rsid w:val="74FE681D"/>
    <w:rsid w:val="7541307B"/>
    <w:rsid w:val="75F07F55"/>
    <w:rsid w:val="76150EDB"/>
    <w:rsid w:val="76BA0E58"/>
    <w:rsid w:val="76E25A80"/>
    <w:rsid w:val="77A552B4"/>
    <w:rsid w:val="78102198"/>
    <w:rsid w:val="783A644A"/>
    <w:rsid w:val="78775521"/>
    <w:rsid w:val="78855F37"/>
    <w:rsid w:val="78BF3420"/>
    <w:rsid w:val="78CA7DC1"/>
    <w:rsid w:val="793979B4"/>
    <w:rsid w:val="7A177D2A"/>
    <w:rsid w:val="7A193EA0"/>
    <w:rsid w:val="7A5371D8"/>
    <w:rsid w:val="7AFC2853"/>
    <w:rsid w:val="7C4032FF"/>
    <w:rsid w:val="7C8906FD"/>
    <w:rsid w:val="7CBE74F1"/>
    <w:rsid w:val="7D1C786F"/>
    <w:rsid w:val="7D4C4BA9"/>
    <w:rsid w:val="7D570103"/>
    <w:rsid w:val="7DF06CD1"/>
    <w:rsid w:val="7E165AAB"/>
    <w:rsid w:val="7F3350EE"/>
    <w:rsid w:val="7F647B2B"/>
    <w:rsid w:val="7F7A20E4"/>
    <w:rsid w:val="7F9351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22"/>
    <w:qFormat/>
    <w:uiPriority w:val="0"/>
    <w:pPr>
      <w:keepNext/>
      <w:keepLines/>
      <w:spacing w:before="340" w:after="330" w:line="578" w:lineRule="auto"/>
      <w:outlineLvl w:val="0"/>
    </w:pPr>
    <w:rPr>
      <w:b/>
      <w:bCs/>
      <w:kern w:val="44"/>
      <w:sz w:val="44"/>
      <w:szCs w:val="44"/>
      <w:lang w:val="zh-CN" w:eastAsia="zh-CN"/>
    </w:rPr>
  </w:style>
  <w:style w:type="paragraph" w:styleId="4">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customStyle="1" w:styleId="2">
    <w:name w:val="Heading3"/>
    <w:basedOn w:val="1"/>
    <w:next w:val="1"/>
    <w:qFormat/>
    <w:uiPriority w:val="0"/>
    <w:pPr>
      <w:spacing w:before="200" w:line="271" w:lineRule="auto"/>
    </w:pPr>
    <w:rPr>
      <w:rFonts w:ascii="Cambria" w:hAnsi="Cambria" w:cs="Cambria"/>
    </w:rPr>
  </w:style>
  <w:style w:type="paragraph" w:styleId="5">
    <w:name w:val="annotation text"/>
    <w:basedOn w:val="1"/>
    <w:qFormat/>
    <w:uiPriority w:val="0"/>
    <w:pPr>
      <w:jc w:val="left"/>
    </w:pPr>
  </w:style>
  <w:style w:type="paragraph" w:styleId="6">
    <w:name w:val="Body Text Indent"/>
    <w:basedOn w:val="1"/>
    <w:qFormat/>
    <w:uiPriority w:val="0"/>
    <w:pPr>
      <w:widowControl/>
      <w:spacing w:before="100" w:beforeAutospacing="1" w:after="100" w:afterAutospacing="1"/>
      <w:jc w:val="left"/>
    </w:pPr>
    <w:rPr>
      <w:rFonts w:ascii="宋体" w:hAnsi="宋体" w:eastAsia="宋体"/>
      <w:kern w:val="0"/>
      <w:sz w:val="24"/>
    </w:rPr>
  </w:style>
  <w:style w:type="paragraph" w:styleId="7">
    <w:name w:val="Date"/>
    <w:basedOn w:val="1"/>
    <w:next w:val="1"/>
    <w:link w:val="25"/>
    <w:qFormat/>
    <w:uiPriority w:val="0"/>
    <w:pPr>
      <w:ind w:left="100" w:leftChars="2500"/>
    </w:pPr>
  </w:style>
  <w:style w:type="paragraph" w:styleId="8">
    <w:name w:val="Balloon Text"/>
    <w:basedOn w:val="1"/>
    <w:semiHidden/>
    <w:qFormat/>
    <w:uiPriority w:val="0"/>
    <w:rPr>
      <w:sz w:val="18"/>
      <w:szCs w:val="18"/>
    </w:rPr>
  </w:style>
  <w:style w:type="paragraph" w:styleId="9">
    <w:name w:val="footer"/>
    <w:basedOn w:val="1"/>
    <w:link w:val="18"/>
    <w:qFormat/>
    <w:uiPriority w:val="99"/>
    <w:pPr>
      <w:tabs>
        <w:tab w:val="center" w:pos="4153"/>
        <w:tab w:val="right" w:pos="8306"/>
      </w:tabs>
      <w:snapToGrid w:val="0"/>
      <w:jc w:val="left"/>
    </w:pPr>
    <w:rPr>
      <w:rFonts w:eastAsia="宋体"/>
      <w:sz w:val="18"/>
      <w:szCs w:val="18"/>
    </w:rPr>
  </w:style>
  <w:style w:type="paragraph" w:styleId="10">
    <w:name w:val="header"/>
    <w:basedOn w:val="1"/>
    <w:link w:val="17"/>
    <w:qFormat/>
    <w:uiPriority w:val="0"/>
    <w:pPr>
      <w:pBdr>
        <w:bottom w:val="single" w:color="auto" w:sz="6" w:space="1"/>
      </w:pBdr>
      <w:tabs>
        <w:tab w:val="center" w:pos="4153"/>
        <w:tab w:val="right" w:pos="8306"/>
      </w:tabs>
      <w:snapToGrid w:val="0"/>
      <w:jc w:val="center"/>
    </w:pPr>
    <w:rPr>
      <w:sz w:val="18"/>
      <w:szCs w:val="18"/>
      <w:lang w:val="zh-CN" w:eastAsia="zh-CN"/>
    </w:rPr>
  </w:style>
  <w:style w:type="paragraph" w:styleId="11">
    <w:name w:val="Normal (Web)"/>
    <w:basedOn w:val="1"/>
    <w:qFormat/>
    <w:uiPriority w:val="99"/>
    <w:pPr>
      <w:jc w:val="left"/>
    </w:pPr>
    <w:rPr>
      <w:kern w:val="0"/>
      <w:sz w:val="24"/>
    </w:rPr>
  </w:style>
  <w:style w:type="character" w:styleId="14">
    <w:name w:val="page number"/>
    <w:basedOn w:val="13"/>
    <w:qFormat/>
    <w:uiPriority w:val="0"/>
  </w:style>
  <w:style w:type="character" w:styleId="15">
    <w:name w:val="FollowedHyperlink"/>
    <w:qFormat/>
    <w:uiPriority w:val="0"/>
    <w:rPr>
      <w:color w:val="333333"/>
      <w:u w:val="none"/>
    </w:rPr>
  </w:style>
  <w:style w:type="character" w:styleId="16">
    <w:name w:val="Hyperlink"/>
    <w:qFormat/>
    <w:uiPriority w:val="0"/>
    <w:rPr>
      <w:color w:val="333333"/>
      <w:u w:val="none"/>
    </w:rPr>
  </w:style>
  <w:style w:type="character" w:customStyle="1" w:styleId="17">
    <w:name w:val="页眉 Char"/>
    <w:link w:val="10"/>
    <w:qFormat/>
    <w:uiPriority w:val="0"/>
    <w:rPr>
      <w:rFonts w:eastAsia="仿宋_GB2312"/>
      <w:kern w:val="2"/>
      <w:sz w:val="18"/>
      <w:szCs w:val="18"/>
    </w:rPr>
  </w:style>
  <w:style w:type="character" w:customStyle="1" w:styleId="18">
    <w:name w:val="页脚 Char"/>
    <w:link w:val="9"/>
    <w:qFormat/>
    <w:locked/>
    <w:uiPriority w:val="99"/>
    <w:rPr>
      <w:rFonts w:eastAsia="宋体"/>
      <w:kern w:val="2"/>
      <w:sz w:val="18"/>
      <w:szCs w:val="18"/>
      <w:lang w:val="en-US" w:eastAsia="zh-CN" w:bidi="ar-SA"/>
    </w:rPr>
  </w:style>
  <w:style w:type="paragraph" w:styleId="19">
    <w:name w:val="List Paragraph"/>
    <w:basedOn w:val="1"/>
    <w:qFormat/>
    <w:uiPriority w:val="34"/>
    <w:pPr>
      <w:widowControl/>
      <w:ind w:firstLine="420" w:firstLineChars="200"/>
      <w:jc w:val="left"/>
    </w:pPr>
    <w:rPr>
      <w:rFonts w:ascii="宋体" w:hAnsi="宋体" w:eastAsia="宋体" w:cs="宋体"/>
      <w:kern w:val="0"/>
      <w:sz w:val="24"/>
    </w:rPr>
  </w:style>
  <w:style w:type="paragraph" w:customStyle="1" w:styleId="20">
    <w:name w:val="Revision"/>
    <w:unhideWhenUsed/>
    <w:qFormat/>
    <w:uiPriority w:val="99"/>
    <w:rPr>
      <w:rFonts w:ascii="Times New Roman" w:hAnsi="Times New Roman" w:eastAsia="仿宋_GB2312" w:cs="Times New Roman"/>
      <w:kern w:val="2"/>
      <w:sz w:val="30"/>
      <w:szCs w:val="24"/>
      <w:lang w:val="en-US" w:eastAsia="zh-CN" w:bidi="ar-SA"/>
    </w:rPr>
  </w:style>
  <w:style w:type="paragraph" w:customStyle="1" w:styleId="21">
    <w:name w:val="闻政页码"/>
    <w:qFormat/>
    <w:uiPriority w:val="6"/>
    <w:pPr>
      <w:jc w:val="center"/>
    </w:pPr>
    <w:rPr>
      <w:rFonts w:ascii="Times New Roman" w:hAnsi="Times New Roman" w:eastAsia="Times New Roman" w:cs="Times New Roman"/>
      <w:sz w:val="21"/>
      <w:szCs w:val="28"/>
      <w:lang w:val="en-US" w:eastAsia="zh-CN" w:bidi="ar-SA"/>
    </w:rPr>
  </w:style>
  <w:style w:type="character" w:customStyle="1" w:styleId="22">
    <w:name w:val="标题 1 Char"/>
    <w:link w:val="3"/>
    <w:qFormat/>
    <w:uiPriority w:val="0"/>
    <w:rPr>
      <w:rFonts w:eastAsia="仿宋_GB2312"/>
      <w:b/>
      <w:bCs/>
      <w:kern w:val="44"/>
      <w:sz w:val="44"/>
      <w:szCs w:val="44"/>
    </w:rPr>
  </w:style>
  <w:style w:type="paragraph" w:customStyle="1" w:styleId="23">
    <w:name w:val="闻政正文"/>
    <w:basedOn w:val="1"/>
    <w:link w:val="24"/>
    <w:qFormat/>
    <w:uiPriority w:val="0"/>
    <w:pPr>
      <w:spacing w:line="500" w:lineRule="exact"/>
      <w:ind w:firstLine="200" w:firstLineChars="200"/>
    </w:pPr>
    <w:rPr>
      <w:kern w:val="0"/>
      <w:sz w:val="28"/>
      <w:szCs w:val="28"/>
      <w:lang w:val="zh-CN"/>
    </w:rPr>
  </w:style>
  <w:style w:type="character" w:customStyle="1" w:styleId="24">
    <w:name w:val="闻政正文 Char"/>
    <w:link w:val="23"/>
    <w:qFormat/>
    <w:uiPriority w:val="0"/>
    <w:rPr>
      <w:rFonts w:eastAsia="仿宋_GB2312"/>
      <w:sz w:val="28"/>
      <w:szCs w:val="28"/>
      <w:lang w:val="zh-CN"/>
    </w:rPr>
  </w:style>
  <w:style w:type="character" w:customStyle="1" w:styleId="25">
    <w:name w:val="日期 Char"/>
    <w:basedOn w:val="13"/>
    <w:link w:val="7"/>
    <w:qFormat/>
    <w:uiPriority w:val="0"/>
    <w:rPr>
      <w:rFonts w:eastAsia="仿宋_GB2312"/>
      <w:kern w:val="2"/>
      <w:sz w:val="30"/>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11</Pages>
  <Words>5062</Words>
  <Characters>5244</Characters>
  <Lines>24</Lines>
  <Paragraphs>6</Paragraphs>
  <TotalTime>2</TotalTime>
  <ScaleCrop>false</ScaleCrop>
  <LinksUpToDate>false</LinksUpToDate>
  <CharactersWithSpaces>5266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2023-05-17T08:14:00Z</dcterms:created>
  <dc:creator>lhn</dc:creator>
  <cp:lastModifiedBy>猫的薄荷糖</cp:lastModifiedBy>
  <cp:lastPrinted>2023-02-17T01:55:00Z</cp:lastPrinted>
  <dcterms:modified xsi:type="dcterms:W3CDTF">2023-07-12T07:05:23Z</dcterms:modified>
  <dc:title>财政支出绩效评价管理暂行办法</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77F861759ADC4CB3940352D0DEFEFAC8_12</vt:lpwstr>
  </property>
</Properties>
</file>